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val="false"/>
          <w:color w:val="000000"/>
          <w:sz w:val="24"/>
        </w:rPr>
        <w:t>Washington, D.C. 20549</w:t>
      </w:r>
      <w:r>
        <w:rPr>
          <w:color w:val="000000"/>
        </w:rPr>
        <w:t>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Pursuant to Section 13 or 15(d)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of the Securities Exchange Act of 1934</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 xml:space="preserve">May 8, 2026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9624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62400" cy="78105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Fox Factory Holding Corp.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21" w:type="dxa"/>
        <w:jc w:val="center"/>
        <w:tblInd w:w="0" w:type="dxa"/>
        <w:tblLayout w:type="fixed"/>
        <w:tblCellMar>
          <w:top w:w="28" w:type="dxa"/>
          <w:left w:w="28" w:type="dxa"/>
          <w:bottom w:w="28" w:type="dxa"/>
          <w:right w:w="28" w:type="dxa"/>
        </w:tblCellMar>
      </w:tblPr>
      <w:tblGrid>
        <w:gridCol w:w="1148"/>
        <w:gridCol w:w="1008"/>
        <w:gridCol w:w="1023"/>
        <w:gridCol w:w="109"/>
        <w:gridCol w:w="109"/>
        <w:gridCol w:w="109"/>
        <w:gridCol w:w="343"/>
        <w:gridCol w:w="343"/>
        <w:gridCol w:w="348"/>
        <w:gridCol w:w="109"/>
        <w:gridCol w:w="109"/>
        <w:gridCol w:w="109"/>
        <w:gridCol w:w="512"/>
        <w:gridCol w:w="512"/>
        <w:gridCol w:w="730"/>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001-36040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26-1647258</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2055 Sugarloaf Circle,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Duluth, GA 30097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(831) 274-6500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60"/>
        <w:jc w:val="center"/>
        <w:rPr/>
      </w:pPr>
      <w:r>
        <w:rPr>
          <w:rFonts w:ascii="Times New Roman;serif" w:hAnsi="Times New Roman;serif"/>
          <w:b/>
          <w:color w:val="000000"/>
          <w:sz w:val="16"/>
        </w:rPr>
        <w:t>(</w:t>
      </w:r>
      <w:r>
        <w:rPr>
          <w:rFonts w:ascii="Times New Roman;serif" w:hAnsi="Times New Roman;serif"/>
          <w:b w:val="false"/>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864" w:type="dxa"/>
        <w:jc w:val="center"/>
        <w:tblInd w:w="0" w:type="dxa"/>
        <w:tblLayout w:type="fixed"/>
        <w:tblCellMar>
          <w:top w:w="28" w:type="dxa"/>
          <w:left w:w="28" w:type="dxa"/>
          <w:bottom w:w="28" w:type="dxa"/>
          <w:right w:w="28" w:type="dxa"/>
        </w:tblCellMar>
      </w:tblPr>
      <w:tblGrid>
        <w:gridCol w:w="1142"/>
        <w:gridCol w:w="1004"/>
        <w:gridCol w:w="1004"/>
        <w:gridCol w:w="565"/>
        <w:gridCol w:w="565"/>
        <w:gridCol w:w="565"/>
        <w:gridCol w:w="1177"/>
        <w:gridCol w:w="1177"/>
        <w:gridCol w:w="1665"/>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8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40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150"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695"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FOXF</w:t>
            </w:r>
          </w:p>
        </w:tc>
        <w:tc>
          <w:tcPr>
            <w:tcW w:w="40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150"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95"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401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0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24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2026 Annual Meeting was held on May 8, 2026, at 1:00 p.m., Eastern Time. A total of 41,932,594 shares of the Company’s common stock, were outstanding and entitled to vote as of March 10, 2026, the record date for the 2026 Annual Meeting. A total of 38,903,979 shares of the Company’s common stock were present or represented by proxy at the 2026 Annual Meeting, representing approximately 92.78% of the shares outstanding and entitled to vote at the 2026 Annual Meeting, thus providing a quorum.</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 forth below are the matters acted upon by the stockholders and the number of votes with respect to each proposal, as certified by the inspector of election.</w:t>
      </w:r>
    </w:p>
    <w:p>
      <w:pPr>
        <w:pStyle w:val="TextBody"/>
        <w:bidi w:val="0"/>
        <w:spacing w:before="0" w:after="0"/>
        <w:ind w:left="0" w:right="0" w:firstLine="720"/>
        <w:jc w:val="both"/>
        <w:rPr/>
      </w:pPr>
      <w:r>
        <w:rPr/>
      </w:r>
    </w:p>
    <w:p>
      <w:pPr>
        <w:pStyle w:val="TextBody"/>
        <w:bidi w:val="0"/>
        <w:spacing w:lineRule="auto" w:line="288" w:before="240" w:after="100"/>
        <w:jc w:val="both"/>
        <w:rPr>
          <w:rFonts w:ascii="Times New Roman;serif" w:hAnsi="Times New Roman;serif"/>
          <w:b w:val="false"/>
          <w:i/>
          <w:color w:val="000000"/>
          <w:sz w:val="20"/>
        </w:rPr>
      </w:pPr>
      <w:r>
        <w:rPr>
          <w:rFonts w:ascii="Times New Roman;serif" w:hAnsi="Times New Roman;serif"/>
          <w:b w:val="false"/>
          <w:i/>
          <w:color w:val="000000"/>
          <w:sz w:val="20"/>
        </w:rPr>
        <w:t>Proposal No. 1: Election of Directors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stockholders elected Elizabeth A. Fetter and Douglas J. Grimm to serve on the Company’s Board of Directors as Class I directors, for a three year term, ending at the 2029 Annual Meeting of Stockholders, by the votes indicated below:</w:t>
      </w:r>
    </w:p>
    <w:tbl>
      <w:tblPr>
        <w:tblW w:w="5282" w:type="dxa"/>
        <w:jc w:val="left"/>
        <w:tblInd w:w="0" w:type="dxa"/>
        <w:tblLayout w:type="fixed"/>
        <w:tblCellMar>
          <w:top w:w="28" w:type="dxa"/>
          <w:left w:w="28" w:type="dxa"/>
          <w:bottom w:w="28" w:type="dxa"/>
          <w:right w:w="28" w:type="dxa"/>
        </w:tblCellMar>
      </w:tblPr>
      <w:tblGrid>
        <w:gridCol w:w="591"/>
        <w:gridCol w:w="520"/>
        <w:gridCol w:w="524"/>
        <w:gridCol w:w="344"/>
        <w:gridCol w:w="344"/>
        <w:gridCol w:w="348"/>
        <w:gridCol w:w="309"/>
        <w:gridCol w:w="309"/>
        <w:gridCol w:w="313"/>
        <w:gridCol w:w="492"/>
        <w:gridCol w:w="492"/>
        <w:gridCol w:w="69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Director Nominee</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100" w:after="100"/>
              <w:jc w:val="center"/>
              <w:rPr>
                <w:rFonts w:ascii="Times New Roman;serif" w:hAnsi="Times New Roman;serif"/>
                <w:b w:val="false"/>
                <w:color w:val="000000"/>
                <w:sz w:val="20"/>
              </w:rPr>
            </w:pPr>
            <w:r>
              <w:rPr>
                <w:rFonts w:ascii="Times New Roman;serif" w:hAnsi="Times New Roman;serif"/>
                <w:b w:val="false"/>
                <w:color w:val="000000"/>
                <w:sz w:val="20"/>
              </w:rPr>
              <w:t>Elizabeth A. Fetter</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27,438,006</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3,868,213</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7,597,760</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Douglas J. Grimm</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31,163,229</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142,990</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7,597,760</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40" w:after="100"/>
        <w:jc w:val="both"/>
        <w:rPr>
          <w:rFonts w:ascii="Times New Roman;serif" w:hAnsi="Times New Roman;serif"/>
          <w:b w:val="false"/>
          <w:i/>
          <w:color w:val="000000"/>
          <w:sz w:val="20"/>
        </w:rPr>
      </w:pPr>
      <w:r>
        <w:rPr>
          <w:rFonts w:ascii="Times New Roman;serif" w:hAnsi="Times New Roman;serif"/>
          <w:b w:val="false"/>
          <w:i/>
          <w:color w:val="000000"/>
          <w:sz w:val="20"/>
        </w:rPr>
        <w:t>Proposal 2: Ratification of Appointment of Independent Public Accountants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stockholders ratified the appointment of Grant Thornton LLP as the Company’s independent public accountants for fiscal year 2026 by the votes indicated below:</w:t>
      </w:r>
    </w:p>
    <w:tbl>
      <w:tblPr>
        <w:tblW w:w="2598" w:type="dxa"/>
        <w:jc w:val="left"/>
        <w:tblInd w:w="0" w:type="dxa"/>
        <w:tblLayout w:type="fixed"/>
        <w:tblCellMar>
          <w:top w:w="28" w:type="dxa"/>
          <w:left w:w="28" w:type="dxa"/>
          <w:bottom w:w="28" w:type="dxa"/>
          <w:right w:w="28" w:type="dxa"/>
        </w:tblCellMar>
      </w:tblPr>
      <w:tblGrid>
        <w:gridCol w:w="380"/>
        <w:gridCol w:w="332"/>
        <w:gridCol w:w="339"/>
        <w:gridCol w:w="250"/>
        <w:gridCol w:w="250"/>
        <w:gridCol w:w="251"/>
        <w:gridCol w:w="233"/>
        <w:gridCol w:w="233"/>
        <w:gridCol w:w="330"/>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38,844,313</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52,446</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7,220</w:t>
            </w:r>
          </w:p>
        </w:tc>
      </w:tr>
    </w:tbl>
    <w:p>
      <w:pPr>
        <w:pStyle w:val="TextBody"/>
        <w:bidi w:val="0"/>
        <w:spacing w:before="0" w:after="0"/>
        <w:jc w:val="both"/>
        <w:rPr/>
      </w:pPr>
      <w:r>
        <w:rPr/>
      </w:r>
    </w:p>
    <w:p>
      <w:pPr>
        <w:pStyle w:val="TextBody"/>
        <w:bidi w:val="0"/>
        <w:spacing w:lineRule="auto" w:line="288" w:before="240" w:after="100"/>
        <w:jc w:val="both"/>
        <w:rPr>
          <w:rFonts w:ascii="Times New Roman;serif" w:hAnsi="Times New Roman;serif"/>
          <w:b w:val="false"/>
          <w:i/>
          <w:color w:val="000000"/>
          <w:sz w:val="20"/>
        </w:rPr>
      </w:pPr>
      <w:r>
        <w:rPr>
          <w:rFonts w:ascii="Times New Roman;serif" w:hAnsi="Times New Roman;serif"/>
          <w:b w:val="false"/>
          <w:i/>
          <w:color w:val="000000"/>
          <w:sz w:val="20"/>
        </w:rPr>
        <w:t>Proposal 3: Advisory Vote on the Company's Executive Compensation</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stockholders approved, on an advisory basis, the resolution approving the compensation of the Company’s named executive officers as disclosed in the Company’s definitive proxy statement by the votes indicated below:</w:t>
      </w:r>
    </w:p>
    <w:tbl>
      <w:tblPr>
        <w:tblW w:w="4413" w:type="dxa"/>
        <w:jc w:val="left"/>
        <w:tblInd w:w="0" w:type="dxa"/>
        <w:tblLayout w:type="fixed"/>
        <w:tblCellMar>
          <w:top w:w="28" w:type="dxa"/>
          <w:left w:w="28" w:type="dxa"/>
          <w:bottom w:w="28" w:type="dxa"/>
          <w:right w:w="28" w:type="dxa"/>
        </w:tblCellMar>
      </w:tblPr>
      <w:tblGrid>
        <w:gridCol w:w="380"/>
        <w:gridCol w:w="332"/>
        <w:gridCol w:w="339"/>
        <w:gridCol w:w="309"/>
        <w:gridCol w:w="309"/>
        <w:gridCol w:w="313"/>
        <w:gridCol w:w="250"/>
        <w:gridCol w:w="250"/>
        <w:gridCol w:w="25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27,616,480</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3,675,322</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14,417</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7,597,760</w:t>
            </w:r>
          </w:p>
        </w:tc>
      </w:tr>
    </w:tbl>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For more information regarding Proposals 1, 2, and 3, please refer to the Company’s definitive proxy statement, as filed with the Securities and Exchange Commission on March 25,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990"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719"/>
        <w:gridCol w:w="719"/>
        <w:gridCol w:w="102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Fox Factory Holding Corp.</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C. Dennison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Dennison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3649</Characters>
  <CharactersWithSpaces>4246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