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July 3, 2026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_____ to _____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001-36040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jc w:val="center"/>
        <w:rPr>
          <w:rFonts w:ascii="Times New Roman;serif" w:hAnsi="Times New Roman;serif"/>
          <w:b/>
          <w:color w:val="000000"/>
          <w:sz w:val="44"/>
        </w:rPr>
      </w:pPr>
      <w:r>
        <w:rPr>
          <w:rFonts w:ascii="Times New Roman;serif" w:hAnsi="Times New Roman;serif"/>
          <w:b/>
          <w:color w:val="000000"/>
          <w:sz w:val="44"/>
        </w:rPr>
        <w:t xml:space="preserve">Fox Factory Holding Corp.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00" w:type="dxa"/>
        <w:jc w:val="center"/>
        <w:tblInd w:w="0" w:type="dxa"/>
        <w:tblLayout w:type="fixed"/>
        <w:tblCellMar>
          <w:top w:w="28" w:type="dxa"/>
          <w:left w:w="28" w:type="dxa"/>
          <w:bottom w:w="28" w:type="dxa"/>
          <w:right w:w="28" w:type="dxa"/>
        </w:tblCellMar>
      </w:tblPr>
      <w:tblGrid>
        <w:gridCol w:w="567"/>
        <w:gridCol w:w="498"/>
        <w:gridCol w:w="498"/>
        <w:gridCol w:w="498"/>
        <w:gridCol w:w="498"/>
        <w:gridCol w:w="498"/>
        <w:gridCol w:w="498"/>
        <w:gridCol w:w="498"/>
        <w:gridCol w:w="506"/>
        <w:gridCol w:w="291"/>
        <w:gridCol w:w="291"/>
        <w:gridCol w:w="291"/>
        <w:gridCol w:w="291"/>
        <w:gridCol w:w="291"/>
        <w:gridCol w:w="291"/>
        <w:gridCol w:w="291"/>
        <w:gridCol w:w="291"/>
        <w:gridCol w:w="413"/>
      </w:tblGrid>
      <w:tr>
        <w:trPr/>
        <w:tc>
          <w:tcPr>
            <w:tcW w:w="56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26-1647258</w:t>
            </w:r>
          </w:p>
        </w:tc>
      </w:tr>
      <w:tr>
        <w:trPr/>
        <w:tc>
          <w:tcPr>
            <w:tcW w:w="4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2055 Sugarloaf Circle, Suite 300, Duluth GA 30097</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(831) 274-6500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64" w:type="dxa"/>
        <w:jc w:val="center"/>
        <w:tblInd w:w="0" w:type="dxa"/>
        <w:tblLayout w:type="fixed"/>
        <w:tblCellMar>
          <w:top w:w="28" w:type="dxa"/>
          <w:left w:w="28" w:type="dxa"/>
          <w:bottom w:w="28" w:type="dxa"/>
          <w:right w:w="28" w:type="dxa"/>
        </w:tblCellMar>
      </w:tblPr>
      <w:tblGrid>
        <w:gridCol w:w="1142"/>
        <w:gridCol w:w="1004"/>
        <w:gridCol w:w="1004"/>
        <w:gridCol w:w="565"/>
        <w:gridCol w:w="565"/>
        <w:gridCol w:w="565"/>
        <w:gridCol w:w="1177"/>
        <w:gridCol w:w="1177"/>
        <w:gridCol w:w="1665"/>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886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1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40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15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$0.001 per share</w:t>
            </w:r>
          </w:p>
        </w:tc>
        <w:tc>
          <w:tcPr>
            <w:tcW w:w="16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FOXF</w:t>
            </w:r>
          </w:p>
        </w:tc>
        <w:tc>
          <w:tcPr>
            <w:tcW w:w="401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15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60" w:after="283"/>
        <w:ind w:left="0" w:right="0" w:firstLine="495"/>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495"/>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8"/>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16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As of July 31, 2026, there were 42,031,001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Fox Factory Holding Corp.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99"/>
        <w:gridCol w:w="418"/>
        <w:gridCol w:w="418"/>
        <w:gridCol w:w="2848"/>
        <w:gridCol w:w="2697"/>
        <w:gridCol w:w="2676"/>
        <w:gridCol w:w="189"/>
        <w:gridCol w:w="189"/>
        <w:gridCol w:w="271"/>
      </w:tblGrid>
      <w:tr>
        <w:trPr/>
        <w:tc>
          <w:tcPr>
            <w:tcW w:w="49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0">
              <w:r>
                <w:rPr>
                  <w:rStyle w:val="InternetLink"/>
                  <w:rFonts w:ascii="Times New Roman;serif" w:hAnsi="Times New Roman;serif"/>
                  <w:b w:val="false"/>
                  <w:color w:val="0000FF"/>
                  <w:sz w:val="20"/>
                  <w:u w:val="single"/>
                </w:rPr>
                <w:t>PART I. FINANCIAL INFORMATION</w:t>
              </w:r>
            </w:hyperlink>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Page</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
              <w:r>
                <w:rPr>
                  <w:rStyle w:val="InternetLink"/>
                  <w:rFonts w:ascii="Times New Roman;serif" w:hAnsi="Times New Roman;serif"/>
                  <w:b w:val="false"/>
                  <w:color w:val="0000FF"/>
                  <w:sz w:val="20"/>
                  <w:u w:val="single"/>
                </w:rPr>
                <w:t>Item 1.</w:t>
              </w:r>
            </w:hyperlink>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
              <w:r>
                <w:rPr>
                  <w:rStyle w:val="InternetLink"/>
                  <w:rFonts w:ascii="Times New Roman;serif" w:hAnsi="Times New Roman;serif"/>
                  <w:b w:val="false"/>
                  <w:color w:val="0000FF"/>
                  <w:sz w:val="20"/>
                  <w:u w:val="single"/>
                </w:rPr>
                <w:t>Financial Statements</w:t>
              </w:r>
            </w:hyperlink>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Balance Sheets as of July 3, 2026 and January 2, 2026</w:t>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3">
              <w:r>
                <w:rPr>
                  <w:rStyle w:val="InternetLink"/>
                  <w:rFonts w:ascii="Times New Roman;serif" w:hAnsi="Times New Roman;serif"/>
                  <w:b w:val="false"/>
                  <w:color w:val="0000FF"/>
                  <w:sz w:val="20"/>
                  <w:u w:val="single"/>
                </w:rPr>
                <w:t>3</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Operations for the Three and Six Months Ended July 3, 2026 and July 4, 2025</w:t>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9">
              <w:r>
                <w:rPr>
                  <w:rStyle w:val="InternetLink"/>
                  <w:rFonts w:ascii="Times New Roman;serif" w:hAnsi="Times New Roman;serif"/>
                  <w:b w:val="false"/>
                  <w:color w:val="0000FF"/>
                  <w:sz w:val="20"/>
                  <w:u w:val="single"/>
                </w:rPr>
                <w:t>4</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Comprehensive Income (Loss) for the Three and Six Months Ended July 3, 2026 and July 4, 2025</w:t>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22">
              <w:r>
                <w:rPr>
                  <w:rStyle w:val="InternetLink"/>
                  <w:rFonts w:ascii="Times New Roman;serif" w:hAnsi="Times New Roman;serif"/>
                  <w:b w:val="false"/>
                  <w:color w:val="0000FF"/>
                  <w:sz w:val="20"/>
                  <w:u w:val="single"/>
                </w:rPr>
                <w:t>5</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Stockholders’ Equity for the Three and Six Months Ended July 3, 2026 and July 4, 2025</w:t>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25">
              <w:r>
                <w:rPr>
                  <w:rStyle w:val="InternetLink"/>
                  <w:rFonts w:ascii="Times New Roman;serif" w:hAnsi="Times New Roman;serif"/>
                  <w:b w:val="false"/>
                  <w:color w:val="0000FF"/>
                  <w:sz w:val="20"/>
                  <w:u w:val="single"/>
                </w:rPr>
                <w:t>6</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Cash Flows for the Six Months Ended July 3, 2026 and July 4, 2025</w:t>
            </w:r>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28">
              <w:r>
                <w:rPr>
                  <w:rStyle w:val="InternetLink"/>
                  <w:rFonts w:ascii="Times New Roman;serif" w:hAnsi="Times New Roman;serif"/>
                  <w:b w:val="false"/>
                  <w:color w:val="0000FF"/>
                  <w:sz w:val="20"/>
                  <w:u w:val="single"/>
                </w:rPr>
                <w:t>7</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Unaudited Condensed Consolidated Financial Statements</w:t>
            </w:r>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31">
              <w:r>
                <w:rPr>
                  <w:rStyle w:val="InternetLink"/>
                  <w:rFonts w:ascii="Times New Roman;serif" w:hAnsi="Times New Roman;serif"/>
                  <w:b w:val="false"/>
                  <w:color w:val="0000FF"/>
                  <w:sz w:val="20"/>
                  <w:u w:val="single"/>
                </w:rPr>
                <w:t>9</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88">
              <w:r>
                <w:rPr>
                  <w:rStyle w:val="InternetLink"/>
                  <w:rFonts w:ascii="Times New Roman;serif" w:hAnsi="Times New Roman;serif"/>
                  <w:b w:val="false"/>
                  <w:color w:val="0000FF"/>
                  <w:sz w:val="20"/>
                  <w:u w:val="single"/>
                </w:rPr>
                <w:t>Item 2.</w:t>
              </w:r>
            </w:hyperlink>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88">
              <w:r>
                <w:rPr>
                  <w:rStyle w:val="InternetLink"/>
                  <w:rFonts w:ascii="Times New Roman;serif" w:hAnsi="Times New Roman;serif"/>
                  <w:b w:val="false"/>
                  <w:color w:val="0000FF"/>
                  <w:sz w:val="20"/>
                  <w:u w:val="single"/>
                </w:rPr>
                <w:t>28</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18">
              <w:r>
                <w:rPr>
                  <w:rStyle w:val="InternetLink"/>
                  <w:rFonts w:ascii="Times New Roman;serif" w:hAnsi="Times New Roman;serif"/>
                  <w:b w:val="false"/>
                  <w:color w:val="0000FF"/>
                  <w:sz w:val="20"/>
                  <w:u w:val="single"/>
                </w:rPr>
                <w:t>Item 3.</w:t>
              </w:r>
            </w:hyperlink>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18">
              <w:r>
                <w:rPr>
                  <w:rStyle w:val="InternetLink"/>
                  <w:rFonts w:ascii="Times New Roman;serif" w:hAnsi="Times New Roman;serif"/>
                  <w:b w:val="false"/>
                  <w:color w:val="0000FF"/>
                  <w:sz w:val="20"/>
                  <w:u w:val="single"/>
                </w:rPr>
                <w:t>Quantitative and Qualitative Disclosures About Market Risk</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18">
              <w:r>
                <w:rPr>
                  <w:rStyle w:val="InternetLink"/>
                  <w:rFonts w:ascii="Times New Roman;serif" w:hAnsi="Times New Roman;serif"/>
                  <w:b w:val="false"/>
                  <w:color w:val="0000FF"/>
                  <w:sz w:val="20"/>
                  <w:u w:val="single"/>
                </w:rPr>
                <w:t>42</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21">
              <w:r>
                <w:rPr>
                  <w:rStyle w:val="InternetLink"/>
                  <w:rFonts w:ascii="Times New Roman;serif" w:hAnsi="Times New Roman;serif"/>
                  <w:b w:val="false"/>
                  <w:color w:val="0000FF"/>
                  <w:sz w:val="20"/>
                  <w:u w:val="single"/>
                </w:rPr>
                <w:t>Item 4.</w:t>
              </w:r>
            </w:hyperlink>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21">
              <w:r>
                <w:rPr>
                  <w:rStyle w:val="InternetLink"/>
                  <w:rFonts w:ascii="Times New Roman;serif" w:hAnsi="Times New Roman;serif"/>
                  <w:b w:val="false"/>
                  <w:color w:val="0000FF"/>
                  <w:sz w:val="20"/>
                  <w:u w:val="single"/>
                </w:rPr>
                <w:t>Controls and Procedures</w:t>
              </w:r>
            </w:hyperlink>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21">
              <w:r>
                <w:rPr>
                  <w:rStyle w:val="InternetLink"/>
                  <w:rFonts w:ascii="Times New Roman;serif" w:hAnsi="Times New Roman;serif"/>
                  <w:b w:val="false"/>
                  <w:color w:val="0000FF"/>
                  <w:sz w:val="20"/>
                  <w:u w:val="single"/>
                </w:rPr>
                <w:t>42</w:t>
              </w:r>
            </w:hyperlink>
          </w:p>
        </w:tc>
      </w:tr>
      <w:tr>
        <w:trPr/>
        <w:tc>
          <w:tcPr>
            <w:tcW w:w="95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24">
              <w:r>
                <w:rPr>
                  <w:rStyle w:val="InternetLink"/>
                  <w:rFonts w:ascii="Times New Roman;serif" w:hAnsi="Times New Roman;serif"/>
                  <w:b w:val="false"/>
                  <w:color w:val="0000FF"/>
                  <w:sz w:val="20"/>
                  <w:u w:val="single"/>
                </w:rPr>
                <w:t>PART II. OTHER INFORMATION</w:t>
              </w:r>
            </w:hyperlink>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27">
              <w:r>
                <w:rPr>
                  <w:rStyle w:val="InternetLink"/>
                  <w:rFonts w:ascii="Times New Roman;serif" w:hAnsi="Times New Roman;serif"/>
                  <w:b w:val="false"/>
                  <w:color w:val="0000FF"/>
                  <w:sz w:val="20"/>
                  <w:u w:val="single"/>
                </w:rPr>
                <w:t>Item 1.</w:t>
              </w:r>
            </w:hyperlink>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27">
              <w:r>
                <w:rPr>
                  <w:rStyle w:val="InternetLink"/>
                  <w:rFonts w:ascii="Times New Roman;serif" w:hAnsi="Times New Roman;serif"/>
                  <w:b w:val="false"/>
                  <w:color w:val="0000FF"/>
                  <w:sz w:val="20"/>
                  <w:u w:val="single"/>
                </w:rPr>
                <w:t>Legal Proceedings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27">
              <w:r>
                <w:rPr>
                  <w:rStyle w:val="InternetLink"/>
                  <w:rFonts w:ascii="Times New Roman;serif" w:hAnsi="Times New Roman;serif"/>
                  <w:b w:val="false"/>
                  <w:color w:val="0000FF"/>
                  <w:sz w:val="20"/>
                  <w:u w:val="single"/>
                </w:rPr>
                <w:t>43</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0">
              <w:r>
                <w:rPr>
                  <w:rStyle w:val="InternetLink"/>
                  <w:rFonts w:ascii="Times New Roman;serif" w:hAnsi="Times New Roman;serif"/>
                  <w:b w:val="false"/>
                  <w:color w:val="0000FF"/>
                  <w:sz w:val="20"/>
                  <w:u w:val="single"/>
                </w:rPr>
                <w:t>Item 1A.</w:t>
              </w:r>
            </w:hyperlink>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0">
              <w:r>
                <w:rPr>
                  <w:rStyle w:val="InternetLink"/>
                  <w:rFonts w:ascii="Times New Roman;serif" w:hAnsi="Times New Roman;serif"/>
                  <w:b w:val="false"/>
                  <w:color w:val="0000FF"/>
                  <w:sz w:val="20"/>
                  <w:u w:val="single"/>
                </w:rPr>
                <w:t>Risk Factors</w:t>
              </w:r>
            </w:hyperlink>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30">
              <w:r>
                <w:rPr>
                  <w:rStyle w:val="InternetLink"/>
                  <w:rFonts w:ascii="Times New Roman;serif" w:hAnsi="Times New Roman;serif"/>
                  <w:b w:val="false"/>
                  <w:color w:val="0000FF"/>
                  <w:sz w:val="20"/>
                  <w:u w:val="single"/>
                </w:rPr>
                <w:t>43</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3">
              <w:r>
                <w:rPr>
                  <w:rStyle w:val="InternetLink"/>
                  <w:rFonts w:ascii="Times New Roman;serif" w:hAnsi="Times New Roman;serif"/>
                  <w:b w:val="false"/>
                  <w:color w:val="0000FF"/>
                  <w:sz w:val="20"/>
                  <w:u w:val="single"/>
                </w:rPr>
                <w:t>Item 2.</w:t>
              </w:r>
            </w:hyperlink>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3">
              <w:r>
                <w:rPr>
                  <w:rStyle w:val="InternetLink"/>
                  <w:rFonts w:ascii="Times New Roman;serif" w:hAnsi="Times New Roman;serif"/>
                  <w:b w:val="false"/>
                  <w:color w:val="0000FF"/>
                  <w:sz w:val="20"/>
                  <w:u w:val="single"/>
                </w:rPr>
                <w:t>Unregistered Sales of Equity Securities and Use of Proceeds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33">
              <w:r>
                <w:rPr>
                  <w:rStyle w:val="InternetLink"/>
                  <w:rFonts w:ascii="Times New Roman;serif" w:hAnsi="Times New Roman;serif"/>
                  <w:b w:val="false"/>
                  <w:color w:val="0000FF"/>
                  <w:sz w:val="20"/>
                  <w:u w:val="single"/>
                </w:rPr>
                <w:t>44</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6">
              <w:r>
                <w:rPr>
                  <w:rStyle w:val="InternetLink"/>
                  <w:rFonts w:ascii="Times New Roman;serif" w:hAnsi="Times New Roman;serif"/>
                  <w:b w:val="false"/>
                  <w:color w:val="0000FF"/>
                  <w:sz w:val="20"/>
                  <w:u w:val="single"/>
                </w:rPr>
                <w:t>Item 3.</w:t>
              </w:r>
            </w:hyperlink>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6">
              <w:r>
                <w:rPr>
                  <w:rStyle w:val="InternetLink"/>
                  <w:rFonts w:ascii="Times New Roman;serif" w:hAnsi="Times New Roman;serif"/>
                  <w:b w:val="false"/>
                  <w:color w:val="0000FF"/>
                  <w:sz w:val="20"/>
                  <w:u w:val="single"/>
                </w:rPr>
                <w:t>Defaults Upon Senior Securities</w:t>
              </w:r>
            </w:hyperlink>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36">
              <w:r>
                <w:rPr>
                  <w:rStyle w:val="InternetLink"/>
                  <w:rFonts w:ascii="Times New Roman;serif" w:hAnsi="Times New Roman;serif"/>
                  <w:b w:val="false"/>
                  <w:color w:val="0000FF"/>
                  <w:sz w:val="20"/>
                  <w:u w:val="single"/>
                </w:rPr>
                <w:t>44</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9">
              <w:r>
                <w:rPr>
                  <w:rStyle w:val="InternetLink"/>
                  <w:rFonts w:ascii="Times New Roman;serif" w:hAnsi="Times New Roman;serif"/>
                  <w:b w:val="false"/>
                  <w:color w:val="0000FF"/>
                  <w:sz w:val="20"/>
                  <w:u w:val="single"/>
                </w:rPr>
                <w:t>Item 4.</w:t>
              </w:r>
            </w:hyperlink>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39">
              <w:r>
                <w:rPr>
                  <w:rStyle w:val="InternetLink"/>
                  <w:rFonts w:ascii="Times New Roman;serif" w:hAnsi="Times New Roman;serif"/>
                  <w:b w:val="false"/>
                  <w:color w:val="0000FF"/>
                  <w:sz w:val="20"/>
                  <w:u w:val="single"/>
                </w:rPr>
                <w:t>Mine Safety Disclosures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39">
              <w:r>
                <w:rPr>
                  <w:rStyle w:val="InternetLink"/>
                  <w:rFonts w:ascii="Times New Roman;serif" w:hAnsi="Times New Roman;serif"/>
                  <w:b w:val="false"/>
                  <w:color w:val="0000FF"/>
                  <w:sz w:val="20"/>
                  <w:u w:val="single"/>
                </w:rPr>
                <w:t>44</w:t>
              </w:r>
            </w:hyperlink>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42">
              <w:r>
                <w:rPr>
                  <w:rStyle w:val="InternetLink"/>
                  <w:rFonts w:ascii="Times New Roman;serif" w:hAnsi="Times New Roman;serif"/>
                  <w:b w:val="false"/>
                  <w:color w:val="0000FF"/>
                  <w:sz w:val="20"/>
                  <w:u w:val="single"/>
                </w:rPr>
                <w:t>Item 5.</w:t>
              </w:r>
            </w:hyperlink>
          </w:p>
        </w:tc>
        <w:tc>
          <w:tcPr>
            <w:tcW w:w="8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42">
              <w:r>
                <w:rPr>
                  <w:rStyle w:val="InternetLink"/>
                  <w:rFonts w:ascii="Times New Roman;serif" w:hAnsi="Times New Roman;serif"/>
                  <w:b w:val="false"/>
                  <w:color w:val="0000FF"/>
                  <w:sz w:val="20"/>
                  <w:u w:val="single"/>
                </w:rPr>
                <w:t>Other Information</w:t>
              </w:r>
            </w:hyperlink>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42">
              <w:r>
                <w:rPr>
                  <w:rStyle w:val="InternetLink"/>
                  <w:rFonts w:ascii="Times New Roman;serif" w:hAnsi="Times New Roman;serif"/>
                  <w:b w:val="false"/>
                  <w:color w:val="0000FF"/>
                  <w:sz w:val="20"/>
                  <w:u w:val="single"/>
                </w:rPr>
                <w:t>44</w:t>
              </w:r>
            </w:hyperlink>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45">
              <w:r>
                <w:rPr>
                  <w:rStyle w:val="InternetLink"/>
                  <w:rFonts w:ascii="Times New Roman;serif" w:hAnsi="Times New Roman;serif"/>
                  <w:b w:val="false"/>
                  <w:color w:val="0000FF"/>
                  <w:sz w:val="20"/>
                  <w:u w:val="single"/>
                </w:rPr>
                <w:t>Item 6.</w:t>
              </w:r>
            </w:hyperlink>
          </w:p>
        </w:tc>
        <w:tc>
          <w:tcPr>
            <w:tcW w:w="8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45">
              <w:r>
                <w:rPr>
                  <w:rStyle w:val="InternetLink"/>
                  <w:rFonts w:ascii="Times New Roman;serif" w:hAnsi="Times New Roman;serif"/>
                  <w:b w:val="false"/>
                  <w:color w:val="0000FF"/>
                  <w:sz w:val="20"/>
                  <w:u w:val="single"/>
                </w:rPr>
                <w:t>Exhibits</w:t>
              </w:r>
            </w:hyperlink>
          </w:p>
        </w:tc>
        <w:tc>
          <w:tcPr>
            <w:tcW w:w="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45">
              <w:r>
                <w:rPr>
                  <w:rStyle w:val="InternetLink"/>
                  <w:rFonts w:ascii="Times New Roman;serif" w:hAnsi="Times New Roman;serif"/>
                  <w:b w:val="false"/>
                  <w:color w:val="0000FF"/>
                  <w:sz w:val="20"/>
                  <w:u w:val="single"/>
                </w:rPr>
                <w:t>45</w:t>
              </w:r>
            </w:hyperlink>
          </w:p>
        </w:tc>
      </w:tr>
      <w:tr>
        <w:trPr/>
        <w:tc>
          <w:tcPr>
            <w:tcW w:w="955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670ec0dd1b14c89a7cbf2c857b7aa3c_148">
              <w:r>
                <w:rPr>
                  <w:rStyle w:val="InternetLink"/>
                  <w:rFonts w:ascii="Times New Roman;serif" w:hAnsi="Times New Roman;serif"/>
                  <w:b w:val="false"/>
                  <w:color w:val="0000FF"/>
                  <w:sz w:val="20"/>
                  <w:u w:val="single"/>
                </w:rPr>
                <w:t>Signatures</w:t>
              </w:r>
            </w:hyperlink>
          </w:p>
        </w:tc>
        <w:tc>
          <w:tcPr>
            <w:tcW w:w="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670ec0dd1b14c89a7cbf2c857b7aa3c_148">
              <w:r>
                <w:rPr>
                  <w:rStyle w:val="InternetLink"/>
                  <w:rFonts w:ascii="Times New Roman;serif" w:hAnsi="Times New Roman;serif"/>
                  <w:b w:val="false"/>
                  <w:color w:val="0000FF"/>
                  <w:sz w:val="20"/>
                  <w:u w:val="single"/>
                </w:rPr>
                <w:t>46</w:t>
              </w:r>
            </w:hyperlink>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221"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6"/>
        <w:gridCol w:w="2243"/>
        <w:gridCol w:w="2197"/>
        <w:gridCol w:w="211"/>
        <w:gridCol w:w="976"/>
        <w:gridCol w:w="109"/>
        <w:gridCol w:w="109"/>
        <w:gridCol w:w="109"/>
        <w:gridCol w:w="109"/>
        <w:gridCol w:w="211"/>
        <w:gridCol w:w="978"/>
        <w:gridCol w:w="157"/>
      </w:tblGrid>
      <w:tr>
        <w:trPr/>
        <w:tc>
          <w:tcPr>
            <w:tcW w:w="279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7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$3,265 and $2,881,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brands,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distributor relationships,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technologies,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260,348 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1,001,744 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contingencies (Refer to </w:t>
            </w:r>
            <w:hyperlink w:anchor="i1670ec0dd1b14c89a7cbf2c857b7aa3c_52">
              <w:r>
                <w:rPr>
                  <w:rStyle w:val="InternetLink"/>
                  <w:rFonts w:ascii="Times New Roman;serif" w:hAnsi="Times New Roman;serif"/>
                  <w:b w:val="false"/>
                  <w:color w:val="0000FF"/>
                  <w:sz w:val="20"/>
                  <w:u w:val="single"/>
                </w:rPr>
                <w:t>Note 8 - Commitments and Contingencies</w:t>
              </w:r>
            </w:hyperlink>
            <w:r>
              <w:rPr>
                <w:rFonts w:ascii="Times New Roman;serif" w:hAnsi="Times New Roman;serif"/>
                <w:b w:val="false"/>
                <w:color w:val="000000"/>
                <w:sz w:val="20"/>
              </w:rPr>
              <w: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 10,000 authorized and no shares issued or outstanding as of July 3, 2026 and January 2, 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 90,000 authorized; 42,921 shares issued and 42,031 outstanding as of July 3, 2026; 42,692 shares issued and 41,802 outstanding as of January 2,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890 common shares as of July 3, 2026 and January 2,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670,184 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1,671,749 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09"/>
        <w:gridCol w:w="1425"/>
        <w:gridCol w:w="139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91"/>
        <w:gridCol w:w="155"/>
      </w:tblGrid>
      <w:tr>
        <w:trPr/>
        <w:tc>
          <w:tcPr>
            <w:tcW w:w="17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458,729 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(232,059)</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(257,866)</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FOX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(net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1"/>
        <w:gridCol w:w="1536"/>
        <w:gridCol w:w="1524"/>
        <w:gridCol w:w="223"/>
        <w:gridCol w:w="655"/>
        <w:gridCol w:w="115"/>
        <w:gridCol w:w="109"/>
        <w:gridCol w:w="109"/>
        <w:gridCol w:w="109"/>
        <w:gridCol w:w="211"/>
        <w:gridCol w:w="721"/>
        <w:gridCol w:w="109"/>
        <w:gridCol w:w="109"/>
        <w:gridCol w:w="109"/>
        <w:gridCol w:w="109"/>
        <w:gridCol w:w="211"/>
        <w:gridCol w:w="787"/>
        <w:gridCol w:w="109"/>
        <w:gridCol w:w="109"/>
        <w:gridCol w:w="109"/>
        <w:gridCol w:w="109"/>
        <w:gridCol w:w="211"/>
        <w:gridCol w:w="892"/>
        <w:gridCol w:w="159"/>
      </w:tblGrid>
      <w:tr>
        <w:trPr/>
        <w:tc>
          <w:tcPr>
            <w:tcW w:w="176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(257,029)</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gains on interest rate swap to net earnings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net of tax effects</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(249,208)</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w:t>
            </w:r>
          </w:p>
        </w:tc>
        <w:tc>
          <w:tcPr>
            <w:tcW w:w="87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FOX stockholders</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(249,129)</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638" w:type="dxa"/>
        <w:jc w:val="center"/>
        <w:tblInd w:w="0" w:type="dxa"/>
        <w:tblLayout w:type="fixed"/>
        <w:tblCellMar>
          <w:top w:w="28" w:type="dxa"/>
          <w:left w:w="28" w:type="dxa"/>
          <w:bottom w:w="28" w:type="dxa"/>
          <w:right w:w="28" w:type="dxa"/>
        </w:tblCellMar>
      </w:tblPr>
      <w:tblGrid>
        <w:gridCol w:w="634"/>
        <w:gridCol w:w="268"/>
        <w:gridCol w:w="269"/>
        <w:gridCol w:w="323"/>
        <w:gridCol w:w="323"/>
        <w:gridCol w:w="196"/>
        <w:gridCol w:w="109"/>
        <w:gridCol w:w="109"/>
        <w:gridCol w:w="109"/>
        <w:gridCol w:w="212"/>
        <w:gridCol w:w="359"/>
        <w:gridCol w:w="120"/>
        <w:gridCol w:w="109"/>
        <w:gridCol w:w="109"/>
        <w:gridCol w:w="109"/>
        <w:gridCol w:w="210"/>
        <w:gridCol w:w="211"/>
        <w:gridCol w:w="196"/>
        <w:gridCol w:w="109"/>
        <w:gridCol w:w="109"/>
        <w:gridCol w:w="109"/>
        <w:gridCol w:w="196"/>
        <w:gridCol w:w="661"/>
        <w:gridCol w:w="109"/>
        <w:gridCol w:w="109"/>
        <w:gridCol w:w="109"/>
        <w:gridCol w:w="109"/>
        <w:gridCol w:w="196"/>
        <w:gridCol w:w="736"/>
        <w:gridCol w:w="109"/>
        <w:gridCol w:w="109"/>
        <w:gridCol w:w="109"/>
        <w:gridCol w:w="109"/>
        <w:gridCol w:w="262"/>
        <w:gridCol w:w="763"/>
        <w:gridCol w:w="146"/>
        <w:gridCol w:w="109"/>
        <w:gridCol w:w="109"/>
        <w:gridCol w:w="109"/>
        <w:gridCol w:w="196"/>
        <w:gridCol w:w="736"/>
        <w:gridCol w:w="109"/>
        <w:gridCol w:w="109"/>
        <w:gridCol w:w="109"/>
        <w:gridCol w:w="109"/>
        <w:gridCol w:w="196"/>
        <w:gridCol w:w="871"/>
        <w:gridCol w:w="109"/>
        <w:gridCol w:w="109"/>
        <w:gridCol w:w="109"/>
        <w:gridCol w:w="109"/>
        <w:gridCol w:w="325"/>
        <w:gridCol w:w="724"/>
        <w:gridCol w:w="257"/>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January 3,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42,574 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compensation plans, net of shares repurchased for income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April 4,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42,602 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(4,145)</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compensation plans, net of shares repurchased for income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July 4, 2025</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8,045 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618,454 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958,719 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tbl>
      <w:tblPr>
        <w:tblW w:w="12528" w:type="dxa"/>
        <w:jc w:val="left"/>
        <w:tblInd w:w="0" w:type="dxa"/>
        <w:tblLayout w:type="fixed"/>
        <w:tblCellMar>
          <w:top w:w="28" w:type="dxa"/>
          <w:left w:w="28" w:type="dxa"/>
          <w:bottom w:w="28" w:type="dxa"/>
          <w:right w:w="28" w:type="dxa"/>
        </w:tblCellMar>
      </w:tblPr>
      <w:tblGrid>
        <w:gridCol w:w="634"/>
        <w:gridCol w:w="268"/>
        <w:gridCol w:w="269"/>
        <w:gridCol w:w="323"/>
        <w:gridCol w:w="323"/>
        <w:gridCol w:w="196"/>
        <w:gridCol w:w="109"/>
        <w:gridCol w:w="109"/>
        <w:gridCol w:w="109"/>
        <w:gridCol w:w="212"/>
        <w:gridCol w:w="359"/>
        <w:gridCol w:w="120"/>
        <w:gridCol w:w="109"/>
        <w:gridCol w:w="109"/>
        <w:gridCol w:w="109"/>
        <w:gridCol w:w="210"/>
        <w:gridCol w:w="211"/>
        <w:gridCol w:w="196"/>
        <w:gridCol w:w="109"/>
        <w:gridCol w:w="109"/>
        <w:gridCol w:w="109"/>
        <w:gridCol w:w="196"/>
        <w:gridCol w:w="661"/>
        <w:gridCol w:w="109"/>
        <w:gridCol w:w="109"/>
        <w:gridCol w:w="109"/>
        <w:gridCol w:w="109"/>
        <w:gridCol w:w="196"/>
        <w:gridCol w:w="736"/>
        <w:gridCol w:w="109"/>
        <w:gridCol w:w="109"/>
        <w:gridCol w:w="109"/>
        <w:gridCol w:w="109"/>
        <w:gridCol w:w="266"/>
        <w:gridCol w:w="756"/>
        <w:gridCol w:w="149"/>
        <w:gridCol w:w="109"/>
        <w:gridCol w:w="109"/>
        <w:gridCol w:w="109"/>
        <w:gridCol w:w="196"/>
        <w:gridCol w:w="736"/>
        <w:gridCol w:w="109"/>
        <w:gridCol w:w="109"/>
        <w:gridCol w:w="109"/>
        <w:gridCol w:w="109"/>
        <w:gridCol w:w="200"/>
        <w:gridCol w:w="753"/>
        <w:gridCol w:w="113"/>
        <w:gridCol w:w="109"/>
        <w:gridCol w:w="109"/>
        <w:gridCol w:w="109"/>
        <w:gridCol w:w="325"/>
        <w:gridCol w:w="724"/>
        <w:gridCol w:w="257"/>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January 2,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42,692 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352,239 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670,184 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compensation plans, net of shares repurchased for income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April 3,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658,756 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compensation plans, net of shares repurchased for income tax withholding</w:t>
            </w:r>
          </w:p>
        </w:tc>
        <w:tc>
          <w:tcPr>
            <w:tcW w:w="6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July 3,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667,047 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745"/>
        <w:gridCol w:w="2374"/>
        <w:gridCol w:w="2386"/>
        <w:gridCol w:w="211"/>
        <w:gridCol w:w="790"/>
        <w:gridCol w:w="109"/>
        <w:gridCol w:w="109"/>
        <w:gridCol w:w="109"/>
        <w:gridCol w:w="109"/>
        <w:gridCol w:w="211"/>
        <w:gridCol w:w="895"/>
        <w:gridCol w:w="157"/>
      </w:tblGrid>
      <w:tr>
        <w:trPr/>
        <w:tc>
          <w:tcPr>
            <w:tcW w:w="2745"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inventory reserve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inventory step-up</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loan fees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gains on prior swap settlements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 and divestitures: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divestitures, net of cash divested, including collections of promissory note principal</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revolver</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revolver</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debt</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from stock compensation program, net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debt issuance/modification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EQUIVALENTS—Beginning of period</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599" w:type="dxa"/>
        <w:jc w:val="center"/>
        <w:tblInd w:w="0" w:type="dxa"/>
        <w:tblLayout w:type="fixed"/>
        <w:tblCellMar>
          <w:top w:w="28" w:type="dxa"/>
          <w:left w:w="28" w:type="dxa"/>
          <w:bottom w:w="28" w:type="dxa"/>
          <w:right w:w="28" w:type="dxa"/>
        </w:tblCellMar>
      </w:tblPr>
      <w:tblGrid>
        <w:gridCol w:w="1863"/>
        <w:gridCol w:w="1638"/>
        <w:gridCol w:w="1644"/>
        <w:gridCol w:w="211"/>
        <w:gridCol w:w="721"/>
        <w:gridCol w:w="109"/>
        <w:gridCol w:w="109"/>
        <w:gridCol w:w="109"/>
        <w:gridCol w:w="109"/>
        <w:gridCol w:w="211"/>
        <w:gridCol w:w="721"/>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included in the measurement of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 from divestiture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0" w:after="0"/>
        <w:jc w:val="left"/>
        <w:rPr/>
      </w:pPr>
      <w:r>
        <w:rPr>
          <w:rFonts w:ascii="Times New Roman;serif" w:hAnsi="Times New Roman;serif"/>
          <w:b/>
          <w:color w:val="000000"/>
          <w:sz w:val="20"/>
        </w:rPr>
        <w:t xml:space="preserve">1. Description of the Business, Basis of Presentation, and Summary of Significant Accounting Policies - </w:t>
      </w:r>
      <w:r>
        <w:rPr>
          <w:rFonts w:ascii="Times New Roman;serif" w:hAnsi="Times New Roman;serif"/>
          <w:b w:val="false"/>
          <w:color w:val="000000"/>
          <w:sz w:val="20"/>
        </w:rPr>
        <w:t>Fox Factory Holding Corp. (the “Company”) designs, engineers, manufactures, and markets premium products and systems that deliver championship-level performance for customers worldwide. Our premium brand, performance-defining products and systems are used primarily on bicycles (“bikes”), side-by-side vehicles (“side-by-sides”), on-road vehicles with and without off-road capabilities, off-road vehicles and trucks, all-terrain vehicles (“ATVs”), snowmobiles, motorcycles, and specialty vehicles and applications. In addition, we currently offer premium baseball and softball gear and equipment. Certain of our products are specifically designed and marketed to some of the leading cycling and powered vehicle original equipment manufacturers (“OEMs”), while others are distributed to consumers through a global network of dealers and distributors and through direct-to-customer channels.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Throughout this Form 10-Q, unless stated otherwise or as the context otherwise requires, the “Company,” “FOX,” “Fox Factory,” “we,” “us,” “our,” and “ours” refer to Fox Factory Holding Corp. and its operating subsidiaries on a consolidated basis.</w:t>
      </w:r>
    </w:p>
    <w:p>
      <w:pPr>
        <w:pStyle w:val="TextBody"/>
        <w:bidi w:val="0"/>
        <w:spacing w:lineRule="auto" w:line="288" w:before="240" w:after="100"/>
        <w:jc w:val="both"/>
        <w:rPr/>
      </w:pPr>
      <w:r>
        <w:rPr>
          <w:rFonts w:ascii="Times New Roman;serif" w:hAnsi="Times New Roman;serif"/>
          <w:b/>
          <w:color w:val="000000"/>
          <w:sz w:val="20"/>
        </w:rPr>
        <w:t xml:space="preserve">Basis of Presentation - </w:t>
      </w:r>
      <w:r>
        <w:rPr>
          <w:rFonts w:ascii="Times New Roman;serif" w:hAnsi="Times New Roman;serif"/>
          <w:b w:val="false"/>
          <w:color w:val="000000"/>
          <w:sz w:val="20"/>
        </w:rPr>
        <w:t>The accompanying condensed consolidated financial statements are unaudited. These unaudited interim condensed consolidated financial statements have been prepared in accordance with generally accepted accounting principles (“GAAP”) in the United States of America (“U.S.” or “United States”) and applicable rules and regulations of the U.S. Securities and Exchange Commission (“SEC”) regarding interim financial reporting. The year-end condensed consolidated balance sheet data was derived from audited financial statements, but does not include all disclosures required by GAAP. Certain information and footnote disclosures normally included in the financial statements prepared in accordance with GAAP have been condensed or omitted pursuant to such rules and regulations. Accordingly, these interim condensed consolidated financial statements should be read in conjunction with the audited consolidated financial statements for the fiscal year ended January 2, 2026 included in the Company’s Annual Report on Form 10-K for the fiscal year ended January 2, 2026, as filed with the SEC on February 27, 2026.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pStyle w:val="TextBody"/>
        <w:bidi w:val="0"/>
        <w:spacing w:lineRule="auto" w:line="288" w:before="240" w:after="100"/>
        <w:jc w:val="both"/>
        <w:rPr/>
      </w:pPr>
      <w:r>
        <w:rPr>
          <w:rFonts w:ascii="Times New Roman;serif" w:hAnsi="Times New Roman;serif"/>
          <w:b/>
          <w:color w:val="000000"/>
          <w:sz w:val="20"/>
        </w:rPr>
        <w:t xml:space="preserve">Fiscal Year Calendar - </w:t>
      </w:r>
      <w:r>
        <w:rPr>
          <w:rFonts w:ascii="Times New Roman;serif" w:hAnsi="Times New Roman;serif"/>
          <w:b w:val="false"/>
          <w:color w:val="000000"/>
          <w:sz w:val="20"/>
        </w:rPr>
        <w:t>The Company operates on a 52-53-week fiscal year calendar. For 2026 and 2025, the Company’s fiscal year will end or has ended on January 1, 2027 and January 2, 2026, respectively. The 12-month periods ended January 1, 2027 and January 2, 2026, will include or have included 52 weeks. The three and six-month periods ended July 3, 2026 and July 4, 2025 each included 13 weeks and 26 weeks, respectively.</w:t>
      </w:r>
    </w:p>
    <w:p>
      <w:pPr>
        <w:pStyle w:val="TextBody"/>
        <w:bidi w:val="0"/>
        <w:spacing w:lineRule="auto" w:line="288" w:before="240" w:after="100"/>
        <w:jc w:val="both"/>
        <w:rPr/>
      </w:pPr>
      <w:r>
        <w:rPr>
          <w:rFonts w:ascii="Times New Roman;serif" w:hAnsi="Times New Roman;serif"/>
          <w:b/>
          <w:color w:val="000000"/>
          <w:sz w:val="20"/>
        </w:rPr>
        <w:t>Principles of Consolidation -</w:t>
      </w:r>
      <w:r>
        <w:rPr>
          <w:color w:val="000000"/>
        </w:rPr>
        <w:t xml:space="preserve"> </w:t>
      </w:r>
      <w:r>
        <w:rPr>
          <w:rFonts w:ascii="Times New Roman;serif" w:hAnsi="Times New Roman;serif"/>
          <w:b w:val="false"/>
          <w:color w:val="000000"/>
          <w:sz w:val="20"/>
        </w:rPr>
        <w:t xml:space="preserve">These condensed consolidated financial statements include the Company and its subsidiaries. All intercompany transactions and balances have been eliminated in consolidation. </w:t>
      </w:r>
    </w:p>
    <w:p>
      <w:pPr>
        <w:pStyle w:val="TextBody"/>
        <w:bidi w:val="0"/>
        <w:spacing w:lineRule="auto" w:line="288" w:before="240" w:after="100"/>
        <w:jc w:val="both"/>
        <w:rPr/>
      </w:pPr>
      <w:r>
        <w:rPr>
          <w:rFonts w:ascii="Times New Roman;serif" w:hAnsi="Times New Roman;serif"/>
          <w:b/>
          <w:color w:val="000000"/>
          <w:sz w:val="20"/>
        </w:rPr>
        <w:t>Summary of Significant Accounting Policies -</w:t>
      </w:r>
      <w:r>
        <w:rPr>
          <w:color w:val="000000"/>
        </w:rPr>
        <w:t xml:space="preserve"> </w:t>
      </w:r>
      <w:r>
        <w:rPr>
          <w:rFonts w:ascii="Times New Roman;serif" w:hAnsi="Times New Roman;serif"/>
          <w:b w:val="false"/>
          <w:color w:val="000000"/>
          <w:sz w:val="20"/>
        </w:rPr>
        <w:t>There have been no changes to our significant accounting policies described in our Annual Report on Form 10-K for the fiscal year ended January 2, 2026, as filed with the SEC on February 27, 2026, that had a material impact on our condensed consolidated financial statements and related notes.</w:t>
      </w:r>
    </w:p>
    <w:p>
      <w:pPr>
        <w:pStyle w:val="TextBody"/>
        <w:bidi w:val="0"/>
        <w:spacing w:lineRule="auto" w:line="288" w:before="240" w:after="100"/>
        <w:jc w:val="both"/>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 Revenues are generated from the sale of performance-defining products and systems to customers worldwide. The Company’s performance-defining products and systems are solutions that improve performance of powered vehicles, bikes, and baseball and softball gear and equipment. Powered vehicles include side-by-sides, on-road vehicles with and without off-road capabilities, purpose-built off-road vehicles and trucks, ATVs, snowmobiles, specialty vehicles and applications, motorcycles, and commercial trucks.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measured based on the consideration specified in a contract with a customer. The Company recognizes revenue when it satisfies a performance obligation by transferring control of a product to a customer, generally at the time of shipment. Substantially all of the Company’s revenue is recognized at a point in time. Contracts are generally in the form of purchase orders and are governed by standard terms and conditions. For larger OEMs, the Company may also enter into master agreements. Sales tax and other similar taxes are excluded from revenues. Tariff surcharges consisting of amounts billed to customers to recover tariff costs are recorded as revenue when the associated products are recognized as revenue. Revenues generated from upfit packages generally do not include the vehicle chassis, as the Company is not the principal in this arrangement and the automotive dealer purchases the chassis directly from the OEM. The Company is required to place a deposit on vehicle chassis manufactured by Stellantis N.V. (“Stellantis”); however, that deposit is refunded when the chassis is sold through to our customer. For other chassis, the Company entered into floor plan financing agreements, in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Company pays interest expense based on the duration of time the chassis stay on the Company's premises. Revenues generated from custom upfit packages from the Outside Van and Upfit UTV subsidiaries generally include the vehicle chassis, of which the Company takes on the risks and rewards of ownership.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practical expedient, we elected to not capitalize the incremental costs to obtain contracts with customers since the amortization period would have been one year or less.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Provisions for discounts, rebates, sales incentives, returns, and other adjustments are generally provided for in the period the related sales are recorded, based on management’s assessment of historical trends and projection of future results.</w:t>
      </w:r>
    </w:p>
    <w:p>
      <w:pPr>
        <w:pStyle w:val="TextBody"/>
        <w:bidi w:val="0"/>
        <w:spacing w:lineRule="auto" w:line="288" w:before="240" w:after="100"/>
        <w:jc w:val="both"/>
        <w:rPr/>
      </w:pPr>
      <w:r>
        <w:rPr>
          <w:rFonts w:ascii="Times New Roman;serif" w:hAnsi="Times New Roman;serif"/>
          <w:b/>
          <w:color w:val="000000"/>
          <w:sz w:val="20"/>
        </w:rPr>
        <w:t>Segments -</w:t>
      </w:r>
      <w:r>
        <w:rPr>
          <w:color w:val="000000"/>
        </w:rPr>
        <w:t xml:space="preserve"> </w:t>
      </w:r>
      <w:r>
        <w:rPr>
          <w:rFonts w:ascii="Times New Roman;serif" w:hAnsi="Times New Roman;serif"/>
          <w:b w:val="false"/>
          <w:color w:val="000000"/>
          <w:sz w:val="20"/>
        </w:rPr>
        <w:t>We have three operating and reportable segments: Powered Vehicles Group (“PVG”), Aftermarket Applications Group (“AAG”), and Specialty Sports Group (“SSG”). The Company considers operating segments to be components of the Company in which separate financial information is available that is evaluated regularly by the Company’s chief operating decision maker (“CODM”) in deciding how to allocate resources and in assessing performance. The CODM for the Company is the Chief Executive Officer.</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Goodwill, Intangible Assets, and Long-Lived Assets</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purchase price over the fair value of the net assets of businesses acquired. On an annual basis, the Company performs a qualitative assessment to determine if it is more likely than not that the fair value of the reporting unit is less than its carrying amount, including goodwill. If the Company determines that it is more likely than not that the fair value of the reporting unit is less than its carrying amount, it will perform a quantitative analysis; otherwise, no further evaluation is necessary.</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For the quantitative impairment test, the Company compares the fair value of the reporting unit to its carrying value, including goodwill. The Company determines the fair value of the reporting unit based on a weighting of income and market approaches. The income approach employs a discounted cash flow model, projecting revenue and cash flows over a multi-year period. These projections are based on management’s estimates, historical performance trends, and industry outlooks. These cash flows, along with a terminal value, are discounted to their present value using a weighted-average cost of capital (“WACC”) that reflects a market rate appropriate for each reporting unit. The market approach employs multiples for public companies that reasonably compare to the reporting units. If the fair value of the reporting unit exceeds the carrying value of the net assets assigned to that reporting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All impairments, if any, are charged directly to earnings.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Indefinite-lived intangible assets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Certain trademarks and trade names, including FOX and others from certain subsidiaries, are considered to be indefinite life intangibles, and are not amortized but are subject to testing for impairment annually.</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Finite-lived intangible assets and other long-lived assets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We assess the recoverability of identifiable finite-lived intangible assets whenever events or changes in circumstances indicate that an asset or asset group’s carrying amount may be impaired. Impairment of certain finite-lived intangible assets, particularly customer relationships, certain trade names, and core technology, is measured by comparing the carrying amount of the asset group to which the assets are assigned to the sum of the undiscounted estimated future cash flows the asset group is expected to generate. If the asset or asset group is considered to be impaired, the amount of such impairment would be measured by the difference between the carrying amount of the asset and its fair value.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reviews property and equipment for impairment whenever events or changes in circumstances indicate that the carrying amount of an asset is impaired or the estimated useful life is no longer appropriate. If indicators of impairment exist and the undiscounted projected cash flows associated with such asset are less than the carrying amount of the asset, an impairment loss is recorded to write the asset down to its estimated fair value. Fair value is estimated based on discounted future cash flows.</w:t>
      </w:r>
    </w:p>
    <w:p>
      <w:pPr>
        <w:pStyle w:val="TextBody"/>
        <w:bidi w:val="0"/>
        <w:spacing w:before="24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240" w:after="100"/>
        <w:jc w:val="both"/>
        <w:rPr/>
      </w:pPr>
      <w:r>
        <w:rPr>
          <w:rFonts w:ascii="Times New Roman;serif" w:hAnsi="Times New Roman;serif"/>
          <w:b/>
          <w:color w:val="000000"/>
          <w:sz w:val="20"/>
        </w:rPr>
        <w:t xml:space="preserve">Use of Estimates - </w:t>
      </w:r>
      <w:r>
        <w:rPr>
          <w:rFonts w:ascii="Times New Roman;serif" w:hAnsi="Times New Roman;serif"/>
          <w:b w:val="false"/>
          <w:color w:val="000000"/>
          <w:sz w:val="20"/>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These estimates are based on information available as of the date of the financial statements; therefore, actual results could differ from management’s estimates.</w:t>
      </w:r>
    </w:p>
    <w:p>
      <w:pPr>
        <w:pStyle w:val="TextBody"/>
        <w:bidi w:val="0"/>
        <w:spacing w:lineRule="auto" w:line="288" w:before="240" w:after="100"/>
        <w:jc w:val="both"/>
        <w:rPr/>
      </w:pPr>
      <w:r>
        <w:rPr>
          <w:rFonts w:ascii="Times New Roman;serif" w:hAnsi="Times New Roman;serif"/>
          <w:b/>
          <w:color w:val="000000"/>
          <w:sz w:val="20"/>
        </w:rPr>
        <w:t xml:space="preserve">Reclassifications </w:t>
      </w:r>
      <w:r>
        <w:rPr>
          <w:rFonts w:ascii="Times New Roman;serif" w:hAnsi="Times New Roman;serif"/>
          <w:b w:val="false"/>
          <w:color w:val="000000"/>
          <w:sz w:val="20"/>
        </w:rPr>
        <w:t>- We reclassified certain prior period amounts within our condensed consolidated statement of cash flows to conform to our current year presentation. The reclassifications did not have any impact on net income.</w:t>
      </w:r>
    </w:p>
    <w:p>
      <w:pPr>
        <w:pStyle w:val="TextBody"/>
        <w:bidi w:val="0"/>
        <w:spacing w:lineRule="auto" w:line="288" w:before="240" w:after="100"/>
        <w:jc w:val="both"/>
        <w:rPr/>
      </w:pPr>
      <w:r>
        <w:rPr>
          <w:rFonts w:ascii="Times New Roman;serif" w:hAnsi="Times New Roman;serif"/>
          <w:b/>
          <w:color w:val="000000"/>
          <w:sz w:val="20"/>
        </w:rPr>
        <w:t>Certain Significant Risks and Uncertainties</w:t>
      </w:r>
      <w:r>
        <w:rPr>
          <w:color w:val="000000"/>
        </w:rPr>
        <w:t xml:space="preserve"> </w:t>
      </w:r>
      <w:r>
        <w:rPr>
          <w:rFonts w:ascii="Times New Roman;serif" w:hAnsi="Times New Roman;serif"/>
          <w:b w:val="false"/>
          <w:color w:val="000000"/>
          <w:sz w:val="20"/>
        </w:rPr>
        <w:t>- As of July 3, 2026, the Company is subject to those risks common in manufacturing-driven markets, including, but not limited to, competitive forces, dependence on key personnel, customer demand for its products, disruptions in the operations of its or its customers’ facilities, or along its global supply chain, the successful protection of its proprietary technologies, compliance with government regulations, and the possibility of not being able to obtain additional financing when needed.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impact of geopolitical conflicts, including, among others, continuing tensions between Taiwan and China, and the war in Iran continue to create uncertainty in global economic conditions and volatility in energy, raw materials, and supply chains, which may negatively impact the Company’s business and operations. Additionally, the imposition of U.S. tariffs on more than 60 countries, including China, Canada, Mexico, and Taiwan, as well as potential changes to or expansions of such tariffs and related retaliatory trade measures, disrupt supply chains and impact demand for the Company’s products. Furthermore, domestic and foreign political instability and uncertainty may create economic volatility, regulatory changes, and trade disruptions that pose additional risks to the Company’s business environment.</w:t>
      </w:r>
    </w:p>
    <w:p>
      <w:pPr>
        <w:pStyle w:val="TextBody"/>
        <w:bidi w:val="0"/>
        <w:spacing w:lineRule="auto" w:line="288" w:before="240" w:after="100"/>
        <w:jc w:val="both"/>
        <w:rPr/>
      </w:pPr>
      <w:r>
        <w:rPr>
          <w:rFonts w:ascii="Times New Roman;serif" w:hAnsi="Times New Roman;serif"/>
          <w:b/>
          <w:color w:val="000000"/>
          <w:sz w:val="20"/>
        </w:rPr>
        <w:t xml:space="preserve">Fair Value Measurements and Financial Instruments - </w:t>
      </w:r>
      <w:r>
        <w:rPr>
          <w:rFonts w:ascii="Times New Roman;serif" w:hAnsi="Times New Roman;serif"/>
          <w:b w:val="false"/>
          <w:color w:val="000000"/>
          <w:sz w:val="20"/>
        </w:rPr>
        <w:t>The Financial Accounting Standards Board (“FASB”) issued Accounting Standards Codification (“ASC”) 820, Fair Value Measurements and Disclosures, that requires the valuation of assets and liabilities required or permitted to be either recorded or disclosed at fair value based on hierarchy of available inputs as follows: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Level 1: Unadjusted quoted prices in active markets that are accessible at the measurement date for identical, unrestricted assets or liabilities;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Level 2: Quoted prices for similar assets and liabilities in active markets, quoted prices for identical assets and liabilities in markets that are not active, or inputs which are observable, either directly or indirectly, for substantially the full term of the asset or liability; and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Level 3: Prices or valuation techniques that require inputs that are both significant to the fair value measurement and unobservable (i.e., supported by little or no market activity).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 Company’s financial instruments, including cash, receivables, accounts payable, accrued liabilities, and current portion of long-term debt approximate their fair values due to their short-term nature. The carrying amounts of the Company’s revolver and long-term debt, excluding current portion, approximate their fair values because the interest rates vary with the market. </w:t>
      </w:r>
    </w:p>
    <w:p>
      <w:pPr>
        <w:pStyle w:val="TextBody"/>
        <w:bidi w:val="0"/>
        <w:spacing w:before="24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November 2024 and January 2025, respectively, the FASB issued Accounting Standard Update (“ASU”) 2024-03 and ASU 2025-01, “Income Statement-Reporting Comprehensive Income-Expense Disaggregation Disclosures (Subtopic 220-40): Disaggregation of Income Statement Expenses,” which adds new disclosure requirements, including more detailed information about certain income statement expense captions and a separate disclosure for selling expenses. The guidance is effective for annual reporting periods beginning after December 15, 2026 and interim periods within annual reporting periods beginning after December 15, 2027, with retrospective application and early adoption permitted. The Company is currently evaluating the impact of the accounting standard updates on its consolidated financial statements and related disclosures.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 - Credit Losses (Topic 326): Measurement of Credit Losses for Accounts Receivable and Contract Assets.” The ASU provides a practical expedient for estimating current expected credit losses by allowing entities to assume that conditions existing as of the balance sheet date do not change for the remaining life of the assets. The guidance is effective for interim and annual reporting periods beginning after December 15, 2025. The Company elected the practical expedient starting the first quarter of fiscal 2026 and applied the guidance prospectively. The adoption of this guidance did not have a material impact on its consolidated financial statements and related disclosures.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The amendments in ASU 2025-06 clarify and modernize the capitalization of costs related to internal-use software. The ASU removes all references to project stages throughout Subtopic 350-40 and clarifies the threshold entities apply to begin capitalizing costs. The guidance is effective for interim and annual reporting periods beginning after December 15, 2027. The Company is currently evaluating the impact of the accounting standard updates on its consolidated financial statements and related disclosures.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“Derivatives and Hedging (Topic 815): Hedge Accounting Improvements.” The amendments introduce targeted improvements across several areas, including similar</w:t>
        <w:noBreakHyphen/>
        <w:t>risk assessments for groups of forecasted transactions, hedging interest payments on choose</w:t>
        <w:noBreakHyphen/>
        <w:t>your</w:t>
        <w:noBreakHyphen/>
        <w:t>rate debt instruments, and cash flow hedges of nonfinancial forecasted transactions. The guidance is intended to better align hedge accounting with entities’ risk</w:t>
        <w:noBreakHyphen/>
        <w:t>management activities and reduce unintuitive hedge dedesignation events. The guidance is effective for annual reporting periods, including interim periods within those periods, beginning after December 15, 2026, with early adoption permitted. The Company is currently evaluating the impact of the ASU and does not expect it to have a material effect on its consolidated financial statements or related disclosures.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The ASU establishes authoritative guidance on the recognition, measurement, and presentation of government grants received by business entities, leveraging principles from IAS 20 and introducing targeted improvements to U.S. GAAP. The ASU also modifies certain existing disclosure requirements in ASC 832 to enhance transparency of government assistance. The guidance is effective for annual periods beginning after December 15, 2028 for public business entities, and one year later for all other entities, with early adoption permitted. The Company is currently evaluating the impact of the ASU on its consolidated financial statements and related disclosures.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11, “Interim Reporting (Topic 270): Narrow</w:t>
        <w:noBreakHyphen/>
        <w:t>Scope Improvements.” The amendments clarify that Topic 270 applies to all entities providing interim financial statements under GAAP, consolidate required interim disclosures, introduce a disclosure principle for material post–year</w:t>
        <w:noBreakHyphen/>
        <w:t>end events, and refine guidance on the form and content of interim financial statements. The amendments do not change the nature or scope of existing interim reporting requirements. The guidance is effective for interim reporting periods within fiscal years beginning after December 15, 2027. The Company is currently evaluating the impact of these updates on its consolidated financial statements and related disclosures.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w:t>
        <w:noBreakHyphen/>
        <w:t>12, “Codification Improvements.” The ASU introduces various technical corrections, clarifications, and minor improvements across a wide range of ASC Topics, which are not expected to significantly affect current accounting practice or impose significant costs on most entities. General transition guidance is provided in ASC 105</w:t>
        <w:noBreakHyphen/>
        <w:t>10</w:t>
        <w:noBreakHyphen/>
        <w:t>65</w:t>
        <w:noBreakHyphen/>
        <w:t>10, with separate transition provisions for the earnings</w:t>
        <w:noBreakHyphen/>
        <w:t>per</w:t>
        <w:noBreakHyphen/>
        <w:t>share amendments in ASC 260. The guidance is effective for annual periods beginning after December 15, 2026, including interim periods within those fiscal years. The Company is currently evaluating the impact of these updates and does not expect them to have a material impact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2. Revenues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total net sales by segment:</w:t>
      </w:r>
    </w:p>
    <w:tbl>
      <w:tblPr>
        <w:tblW w:w="8340" w:type="dxa"/>
        <w:jc w:val="left"/>
        <w:tblInd w:w="0" w:type="dxa"/>
        <w:tblLayout w:type="fixed"/>
        <w:tblCellMar>
          <w:top w:w="28" w:type="dxa"/>
          <w:left w:w="28" w:type="dxa"/>
          <w:bottom w:w="28" w:type="dxa"/>
          <w:right w:w="28" w:type="dxa"/>
        </w:tblCellMar>
      </w:tblPr>
      <w:tblGrid>
        <w:gridCol w:w="988"/>
        <w:gridCol w:w="869"/>
        <w:gridCol w:w="87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total net sales by sales channel:</w:t>
      </w:r>
    </w:p>
    <w:tbl>
      <w:tblPr>
        <w:tblW w:w="10205" w:type="dxa"/>
        <w:jc w:val="left"/>
        <w:tblInd w:w="0" w:type="dxa"/>
        <w:tblLayout w:type="fixed"/>
        <w:tblCellMar>
          <w:top w:w="28" w:type="dxa"/>
          <w:left w:w="28" w:type="dxa"/>
          <w:bottom w:w="28" w:type="dxa"/>
          <w:right w:w="28" w:type="dxa"/>
        </w:tblCellMar>
      </w:tblPr>
      <w:tblGrid>
        <w:gridCol w:w="821"/>
        <w:gridCol w:w="723"/>
        <w:gridCol w:w="729"/>
        <w:gridCol w:w="298"/>
        <w:gridCol w:w="1167"/>
        <w:gridCol w:w="153"/>
        <w:gridCol w:w="153"/>
        <w:gridCol w:w="153"/>
        <w:gridCol w:w="153"/>
        <w:gridCol w:w="298"/>
        <w:gridCol w:w="1167"/>
        <w:gridCol w:w="153"/>
        <w:gridCol w:w="153"/>
        <w:gridCol w:w="153"/>
        <w:gridCol w:w="153"/>
        <w:gridCol w:w="298"/>
        <w:gridCol w:w="1167"/>
        <w:gridCol w:w="153"/>
        <w:gridCol w:w="153"/>
        <w:gridCol w:w="153"/>
        <w:gridCol w:w="153"/>
        <w:gridCol w:w="298"/>
        <w:gridCol w:w="1167"/>
        <w:gridCol w:w="236"/>
      </w:tblGrid>
      <w:tr>
        <w:trPr/>
        <w:tc>
          <w:tcPr>
            <w:tcW w:w="8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OEM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173,757 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334,382 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330,078 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Aftermarket/Non-OEM</w:t>
            </w:r>
            <w:r>
              <w:rPr>
                <w:rFonts w:ascii="Times New Roman;serif" w:hAnsi="Times New Roman;serif"/>
                <w:b w:val="false"/>
                <w:color w:val="000000"/>
                <w:sz w:val="13"/>
              </w:rPr>
              <w:t>(1)</w:t>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399,816 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(1) Aftermarket/non-OEM sales include sales to dealers and dealerships, distributors, sales through our websites, retail sales, and various others, including sales from our Marucci Sports, LLC subsidiary within each of these respective channels as applicable.</w:t>
            </w:r>
          </w:p>
        </w:tc>
      </w:tr>
    </w:tbl>
    <w:p>
      <w:pPr>
        <w:pStyle w:val="TextBody"/>
        <w:bidi w:val="0"/>
        <w:spacing w:before="100" w:after="100"/>
        <w:jc w:val="left"/>
        <w:rPr/>
      </w:pPr>
      <w:r>
        <w:rPr/>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net sales generated by geographic location of the customer:</w:t>
      </w:r>
    </w:p>
    <w:tbl>
      <w:tblPr>
        <w:tblW w:w="7109" w:type="dxa"/>
        <w:jc w:val="left"/>
        <w:tblInd w:w="0" w:type="dxa"/>
        <w:tblLayout w:type="fixed"/>
        <w:tblCellMar>
          <w:top w:w="28" w:type="dxa"/>
          <w:left w:w="28" w:type="dxa"/>
          <w:bottom w:w="28" w:type="dxa"/>
          <w:right w:w="28" w:type="dxa"/>
        </w:tblCellMar>
      </w:tblPr>
      <w:tblGrid>
        <w:gridCol w:w="542"/>
        <w:gridCol w:w="477"/>
        <w:gridCol w:w="48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3. Inventory</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4278"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39"/>
        <w:gridCol w:w="936"/>
        <w:gridCol w:w="17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139,854 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382,897 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388,635 </w:t>
            </w:r>
          </w:p>
        </w:tc>
        <w:tc>
          <w:tcPr>
            <w:tcW w:w="17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4. Prepaids and Other Current Assets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 consisted of the following:</w:t>
      </w:r>
    </w:p>
    <w:tbl>
      <w:tblPr>
        <w:tblW w:w="6376" w:type="dxa"/>
        <w:jc w:val="left"/>
        <w:tblInd w:w="0" w:type="dxa"/>
        <w:tblLayout w:type="fixed"/>
        <w:tblCellMar>
          <w:top w:w="28" w:type="dxa"/>
          <w:left w:w="28" w:type="dxa"/>
          <w:bottom w:w="28" w:type="dxa"/>
          <w:right w:w="28" w:type="dxa"/>
        </w:tblCellMar>
      </w:tblPr>
      <w:tblGrid>
        <w:gridCol w:w="1286"/>
        <w:gridCol w:w="1130"/>
        <w:gridCol w:w="1138"/>
        <w:gridCol w:w="211"/>
        <w:gridCol w:w="826"/>
        <w:gridCol w:w="109"/>
        <w:gridCol w:w="109"/>
        <w:gridCol w:w="109"/>
        <w:gridCol w:w="109"/>
        <w:gridCol w:w="239"/>
        <w:gridCol w:w="936"/>
        <w:gridCol w:w="174"/>
      </w:tblGrid>
      <w:tr>
        <w:trPr/>
        <w:tc>
          <w:tcPr>
            <w:tcW w:w="128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chassis deposits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payments and prepaid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108,424 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5. Property, Plant and Equipment, net</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tbl>
      <w:tblPr>
        <w:tblW w:w="7142" w:type="dxa"/>
        <w:jc w:val="left"/>
        <w:tblInd w:w="0" w:type="dxa"/>
        <w:tblLayout w:type="fixed"/>
        <w:tblCellMar>
          <w:top w:w="28" w:type="dxa"/>
          <w:left w:w="28" w:type="dxa"/>
          <w:bottom w:w="28" w:type="dxa"/>
          <w:right w:w="28" w:type="dxa"/>
        </w:tblCellMar>
      </w:tblPr>
      <w:tblGrid>
        <w:gridCol w:w="1565"/>
        <w:gridCol w:w="1376"/>
        <w:gridCol w:w="1379"/>
        <w:gridCol w:w="211"/>
        <w:gridCol w:w="826"/>
        <w:gridCol w:w="109"/>
        <w:gridCol w:w="109"/>
        <w:gridCol w:w="109"/>
        <w:gridCol w:w="109"/>
        <w:gridCol w:w="239"/>
        <w:gridCol w:w="936"/>
        <w:gridCol w:w="174"/>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manufacturing equipment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193,865 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computer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systems, office equipment and furniture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435,675 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234,635 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long-lived assets by geographic location are as follows:</w:t>
      </w:r>
    </w:p>
    <w:tbl>
      <w:tblPr>
        <w:tblW w:w="4787"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39"/>
        <w:gridCol w:w="936"/>
        <w:gridCol w:w="17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234,635 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6. Accrued Expenses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5690" w:type="dxa"/>
        <w:jc w:val="left"/>
        <w:tblInd w:w="0" w:type="dxa"/>
        <w:tblLayout w:type="fixed"/>
        <w:tblCellMar>
          <w:top w:w="28" w:type="dxa"/>
          <w:left w:w="28" w:type="dxa"/>
          <w:bottom w:w="28" w:type="dxa"/>
          <w:right w:w="28" w:type="dxa"/>
        </w:tblCellMar>
      </w:tblPr>
      <w:tblGrid>
        <w:gridCol w:w="1037"/>
        <w:gridCol w:w="910"/>
        <w:gridCol w:w="917"/>
        <w:gridCol w:w="211"/>
        <w:gridCol w:w="721"/>
        <w:gridCol w:w="109"/>
        <w:gridCol w:w="109"/>
        <w:gridCol w:w="109"/>
        <w:gridCol w:w="109"/>
        <w:gridCol w:w="264"/>
        <w:gridCol w:w="904"/>
        <w:gridCol w:w="13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rebate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92,095 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generally provides a limited warranty for products for a one-, two-, or three-year period beginning on: (i) in the case of OEM sales, the date the bike or powered vehicle is purchased from an authorized OEM where the product is incorporated as original equipment on the purchased bike or powered vehicle; (ii) in the case of aftermarket/non-OEM sales, the date the product is originally purchased from an authorized dealer; or (iii) in the case of upfitting sales, the date of the retail sale to an end customer. Activity related to warranties is as follows:</w:t>
      </w:r>
    </w:p>
    <w:tbl>
      <w:tblPr>
        <w:tblW w:w="7635" w:type="dxa"/>
        <w:jc w:val="left"/>
        <w:tblInd w:w="0" w:type="dxa"/>
        <w:tblLayout w:type="fixed"/>
        <w:tblCellMar>
          <w:top w:w="28" w:type="dxa"/>
          <w:left w:w="28" w:type="dxa"/>
          <w:bottom w:w="28" w:type="dxa"/>
          <w:right w:w="28" w:type="dxa"/>
        </w:tblCellMar>
      </w:tblPr>
      <w:tblGrid>
        <w:gridCol w:w="886"/>
        <w:gridCol w:w="777"/>
        <w:gridCol w:w="78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warranty liability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 to 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warranty liability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*All changes to warranty liability were within normal course of business.</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On April 5, 2022, the Company entered into a new credit agreement with Wells Fargo Bank, National Association, and other named lenders (the “Credit Agreement”). The Credit Agreement, which was set to mature on April 5, 2027, provides for revolving loans, swingline loans, and letters of credit up to an aggregate amount of $650,000.</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may borrow, prepay, and re-borrow principal under the Credit Agreement during its term. Advances under the Credit Agreement can be either Adjusted Term Secured Overnight Financing Rate (“SOFR”) loans or base rate loans. SOFR rate revolving loans bear interest on the outstanding principal amount thereof for each interest period at a rate per annum equal to Term SOFR for such calculation plus 0.10% plus a margin ranging from 1.00% to 2.25%. Base rate revolving loans bear interest on the outstanding principal amount thereof at a rate per annum equal to the highest of (i) Federal Funds Rate plus 0.50%, (ii) the rate of interest in effect for such day as publicly announced from time to time by the lender as its “prime rate”, and (iii) Adjusted Term SOFR rate for a one-month tenor plus 1.00%, subject to the interest rate floors set forth therein, plus a margin ranging from 0.00% to 1.00%.</w:t>
      </w:r>
    </w:p>
    <w:p>
      <w:pPr>
        <w:pStyle w:val="TextBody"/>
        <w:bidi w:val="0"/>
        <w:spacing w:lineRule="auto" w:line="276" w:before="100" w:after="100"/>
        <w:jc w:val="both"/>
        <w:rPr>
          <w:rFonts w:ascii="Times New Roman;serif" w:hAnsi="Times New Roman;serif"/>
          <w:b w:val="false"/>
          <w:color w:val="000000"/>
          <w:sz w:val="20"/>
        </w:rPr>
      </w:pPr>
      <w:r>
        <w:rPr>
          <w:rFonts w:ascii="Times New Roman;serif" w:hAnsi="Times New Roman;serif"/>
          <w:b w:val="false"/>
          <w:color w:val="000000"/>
          <w:sz w:val="20"/>
        </w:rPr>
        <w:t>On November 14, 2023, in connection and concurrently with the closing of the Marucci acquisition, the Company entered into the First Incremental Facility Amendment (the “First Amendment”) amending the Credit Agreement. The First Amendment provided the Company with a term loan in an amount of $400,000 (the “Incremental Term A Loan”) and a delayed draw term loan in an amount of $200,000 (the “Delayed Draw Term Loan” and, together with the Incremental Term A Loan, the “Incremental Term Loans”), each of which are permitted under the Credit Agreement, subject to satisfaction of certain conditions. The Incremental Term A Loan was fully funded on November 14, 2023 and used to fund a portion of the consideration owed under the Marucci acquisition. The Delayed Draw Term Loan was available to the Company from and including December 6, 2023, until the earlier of (a) May 14, 2024 and (b) the date on which the Delayed Draw Term commitments have been terminated. Each Incremental Term Loan is subject to quarterly amortization payments of principal at a rate of 5.00% per annum. The Incremental Term Loans are in the form of term SOFR loans and base rate loans, at the option of the Company, and have an applicable margin ranging from 0.50% to 1.50% for base rate loans and 1.50% to 2.50% for term SOFR loans, subject to adjustment provisions. Each Incremental Term Loan has a maturity date of April 5, 2027, consistent with the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paid $10,063 in debt issuance and amendment costs, of which $6,709 were allocated to the Term A Loan and $3,354 were allocated to the Delayed Draw Term Loan. The costs allocated to the Term A Loan are amortized using the interest method over the term of the Credit Facility. Loan fees allocated to the Delayed Draw Term Loan were deferred as an asset until the debt was drawn. On May 13, 2024, the Company borrowed the full amount of $200,000 of the Delayed Draw Term Loan. The fees were reclassified to a contra-liability account and amortized over the term of the drawn debt using the interest method.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July 31, 2024 and December 20, 2024, the Company entered into the Third and Fourth Amendments to the Credit Agreement, respectively, to secure an improved covenant profile on its capital structure to provide more flexibility given the uncertain macro environment. The Company paid $3,490 in debt amendment costs and related fees for the Third and Fourth Amendments, of which $3,433 were allocated among the revolver and the Incremental Term Loans to be amortized over the remaining term of the Credit Agreement.</w:t>
      </w:r>
    </w:p>
    <w:p>
      <w:pPr>
        <w:pStyle w:val="TextBody"/>
        <w:bidi w:val="0"/>
        <w:spacing w:lineRule="auto" w:line="288" w:before="100" w:after="100"/>
        <w:jc w:val="both"/>
        <w:rPr>
          <w:rFonts w:ascii="Times New Roman;serif" w:hAnsi="Times New Roman;serif"/>
          <w:b/>
          <w:color w:val="000000"/>
          <w:sz w:val="20"/>
        </w:rPr>
      </w:pPr>
      <w:r>
        <w:rPr>
          <w:rFonts w:ascii="Times New Roman;serif" w:hAnsi="Times New Roman;serif"/>
          <w:b/>
          <w:color w:val="000000"/>
          <w:sz w:val="20"/>
        </w:rPr>
        <w:t>Fifth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October 24, 2025, the Company entered into the Fifth Amendment to the Credit Agreement (the “Fifth Amendment”), which amended the Credit Agreement, dated as of April 5, 2022, as amended prior to the Fifth Amendment and as amended by the Fifth Amendment (the “Fifth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Fifth Amendment, among other things, amends the Credit Agreement to replace the existing loans provided under the Credit Agreement with (i) the Term Loan in the aggregate outstanding amount of $537,500, which will be repaid by the Company in quarterly installments in the amount of $6,719, (ii) the Revolving Credit Facility in an aggregate amount of up to $500,000, with sub-facilities for swing line loans in an aggregate amount of up to $25,000 and letters of credit in an aggregate amount of up to $25,000, and (iii) an incremental loan facility, subject to additional terms set forth in the Amended Credit Agreement, in an aggregate amount of up to $175,000 plus an unlimited amount so long as after giving effect to the incurrence of such incremental loans, on a pro forma basis, the Consolidated Net Leverage Ratio is less than 3.25. To the extent not previously paid, all then-outstanding amounts under the Term Loan and the Revolving Credit Facility are due and payable on October 24,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Term Loan and advances under the Revolving Credit Facility can be either SOFR loans or base rate loans. SOFR loans bear interest on the outstanding principal amount thereof for each interest period at a rate per annum equal to the term SOFR for such calculation plus a margin ranging from 1.00% to 2.50%. Base rate loans bear interest on the outstanding principal amount thereof at a rate per annum equal to the highest of (i) Federal Funds Rate plus 0.50%, (ii) the rate of interest in effect for such day as publicly announced from time to time by the Agent as its “prime rate,” and (iii) term SOFR rate for a one-month tenor plus 1.00%, subject to the interest rate floors set forth in the Fifth Amended Credit Agreement, plus a margin ranging from 0.00% to 1.50%.</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Fifth Amendment, the Company borrowed $710,000 under the Fifth Amended Credit Agreement consisting of the $537,500 Term Loan and $172,500 under the Revolving Credit Facility, which was used to repay all outstanding amounts owed under the Credit Agreement prior to the Fifth Amendment and for general corporate purposes.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paid $6,012 in debt issuance and amendment costs in connection with the Fifth Amendment, of which $5,782 was allocated between the Term Loan and the Revolving Credit Facility to be amortized over the term of the Fifth Amended Credit Agreement. Additionally, the Company had $8,090 of remaining unamortized debt issuance costs related to the Credit Agreement, of which $6,313 was carried forward to the Fifth Amended Credit Agreement and $1,777 was written off as a loss on debt extinguishment during the fourth quarter of fiscal year 2025.</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Sixth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May 6, 2026, the Company entered into the Sixth Amendment to the Credit Agreement (the “Sixth Amendment”). The Sixth Amendment amends the Credit Agreement, dated April 5, 2022, as amended prior to the Sixth Amendment, and as amended by the Sixth Amendment (the “Sixth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Sixth Amendment, among other things, amends the margins for interest under the Credit Agreement, pursuant to which the term loan and advances under the revolving credit facility can be either SOFR loans or base rate loans. Pursuant to the Sixth Amendment, SOFR loans bear interest on the outstanding principal amount thereof for each interest period at a rate per annum equal to the term SOFR for such calculation period plus a margin ranging from 1.00% to 2.75%, based on the levels of Consolidated Net Leverage Ratio. Base rate loans bear interest on the outstanding principal amount thereof at a rate per annum equal to the highest of (i) Federal Funds Rate plus 0.50%, (ii) the rate of interest in effect for such day as publicly announced from time to time by the Agent as its “prime rate,” and (iii) term SOFR rate for a one-month tenor plus 1.00%, subject to the interest rate floors set forth in the Sixth Amended Credit Agreement, plus a margin ranging from 0.00% to 1.75%, based on the levels of Consolidated Net Leverage Ratio.</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Sixth Amendment also amends the definition of Consolidated Net Leverage Ratio and modifies the provisions for the mandatory prepayment of the loans with the net proceeds of asset sales. In addition, the Sixth Amendment tightens certain negative covenants on the Company, including restrictions on indebtedness, investments, and restricted payments during the period beginning on the effective date of the Sixth Amendment and ending on the date a compliance certificate is delivered by the Company for the fiscal quarter ending June 30, 2028, provided that no default or event of default has occurred and is continuing on such date of delivery (the “Covenant Relief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Sixth Amendment, the Company is required to maintain (i) a Consolidated Net Leverage Ratio not to exceed (a) 5.00 as of the end of each fiscal quarter ending July 3, 2026 through January 1, 2027, (b) 4.75 as of the end of each fiscal quarter ending April 2, 2027 through July 2, 2027, (c) 4.50 as of the end of each fiscal quarter ending October 1, 2027 through December 31, 2027, (d) 4.25 as of the end of the fiscal quarter ending March 31, 2028, and (e) 4.00 as of the end of the fiscal quarters ending June 30, 2028 and thereafter, each of which will be, at the Company’s election, increased by 0.50 (but not to exceed 4.50) for the four fiscal quarters after the consummation of certain permitted acquisitions exceeding $75,000 (provided that such increase is not permitted during the Covenant Relief Period), and (ii) a Consolidated Interest Coverage Ratio of not less than (a) 2.50 as of the end of each fiscal quarter ending July 3, 2026 through June 30, 2028, and (b) 2.75 as of the end each fiscal quarter ending September 29, 2028 and thereafter.</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paid $2,536 in debt amendment costs in connection with the Sixth Amendment, of which $2,432 was allocated between the Term Loan and the Revolving Credit Facility to be amortized over the term of the Sixth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Debt issuance and amendment costs allocated to the Term Loan are presented as a direct deduction from the carrying amount of long-term debt on the consolidated balance sheet and are amortized using the effective interest method over the term of the Term Loan. Debt issuance and amendment costs allocated to the Revolving Credit Facility are presented in other non-current assets and are amortized on a straight-line basis over the term of the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Sixth Amended Credit Agreement is secured by substantially all of the Company’s assets, restricts the Company’s ability to make certain payments and engage in certain transactions, and requires that the Company satisfy customary financial ratios. The Company was in compliance with the covenants as of July 3, 2026.</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At July 3, 2026, the one-month SOFR and three-month SOFR rates were 3.63% and 3.63%, respectively. At July 3, 2026, our weighted-average interest rate on outstanding borrowing was 6.05%.</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revolver:</w:t>
      </w:r>
    </w:p>
    <w:tbl>
      <w:tblPr>
        <w:tblW w:w="5356" w:type="dxa"/>
        <w:jc w:val="left"/>
        <w:tblInd w:w="0" w:type="dxa"/>
        <w:tblLayout w:type="fixed"/>
        <w:tblCellMar>
          <w:top w:w="28" w:type="dxa"/>
          <w:left w:w="28" w:type="dxa"/>
          <w:bottom w:w="28" w:type="dxa"/>
          <w:right w:w="28" w:type="dxa"/>
        </w:tblCellMar>
      </w:tblPr>
      <w:tblGrid>
        <w:gridCol w:w="918"/>
        <w:gridCol w:w="807"/>
        <w:gridCol w:w="809"/>
        <w:gridCol w:w="211"/>
        <w:gridCol w:w="826"/>
        <w:gridCol w:w="109"/>
        <w:gridCol w:w="109"/>
        <w:gridCol w:w="109"/>
        <w:gridCol w:w="109"/>
        <w:gridCol w:w="239"/>
        <w:gridCol w:w="936"/>
        <w:gridCol w:w="17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outstanding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Standby letters of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capacity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349,833 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 capacity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As of July 3, 2026, future principal payments for term loan debt, including the current portion, are summarized as follows:</w:t>
      </w:r>
    </w:p>
    <w:tbl>
      <w:tblPr>
        <w:tblW w:w="4236" w:type="dxa"/>
        <w:jc w:val="left"/>
        <w:tblInd w:w="0" w:type="dxa"/>
        <w:tblLayout w:type="fixed"/>
        <w:tblCellMar>
          <w:top w:w="28" w:type="dxa"/>
          <w:left w:w="28" w:type="dxa"/>
          <w:bottom w:w="28" w:type="dxa"/>
          <w:right w:w="28" w:type="dxa"/>
        </w:tblCellMar>
      </w:tblPr>
      <w:tblGrid>
        <w:gridCol w:w="1104"/>
        <w:gridCol w:w="967"/>
        <w:gridCol w:w="974"/>
        <w:gridCol w:w="211"/>
        <w:gridCol w:w="82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fiscal year</w:t>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issuance cost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pPr>
      <w:r>
        <w:rPr>
          <w:rFonts w:ascii="Times New Roman;serif" w:hAnsi="Times New Roman;serif"/>
          <w:b w:val="false"/>
          <w:color w:val="000000"/>
          <w:sz w:val="20"/>
        </w:rPr>
        <w:t xml:space="preserve">The Company hedges the variability of cash flows in interest payments associated with the first $500,000 of its variable rate debt through swap agreements. Refer to </w:t>
      </w:r>
      <w:hyperlink w:anchor="i1670ec0dd1b14c89a7cbf2c857b7aa3c_55">
        <w:r>
          <w:rPr>
            <w:rStyle w:val="InternetLink"/>
            <w:rFonts w:ascii="Times New Roman;serif" w:hAnsi="Times New Roman;serif"/>
            <w:b w:val="false"/>
            <w:color w:val="0000FF"/>
            <w:sz w:val="20"/>
            <w:u w:val="single"/>
          </w:rPr>
          <w:t>Note 9 - Derivatives and Hedging</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240" w:after="100"/>
        <w:jc w:val="both"/>
        <w:rPr/>
      </w:pPr>
      <w:r>
        <w:rPr>
          <w:rFonts w:ascii="Times New Roman;serif" w:hAnsi="Times New Roman;serif"/>
          <w:b/>
          <w:color w:val="000000"/>
          <w:sz w:val="20"/>
        </w:rPr>
        <w:t xml:space="preserve">Indemnification Agreements - </w:t>
      </w:r>
      <w:r>
        <w:rPr>
          <w:rFonts w:ascii="Times New Roman;serif" w:hAnsi="Times New Roman;serif"/>
          <w:b w:val="false"/>
          <w:color w:val="000000"/>
          <w:sz w:val="20"/>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intellectual property infringement claims made by third parties. In addition, the Company entered into indemnification agreements with directors and certain officers and employees that will require the Company, among other things, to indemnify them against certain liabilities that may arise because of their status or service as directors, officers or employees. While the outcome of these matters cannot be predicted with certainty, the Company does not believe that the outcome of any claims under indemnification arrangements will have a material effect on the Company’s results of operations, financial position or liquidity.</w:t>
      </w:r>
    </w:p>
    <w:p>
      <w:pPr>
        <w:pStyle w:val="TextBody"/>
        <w:bidi w:val="0"/>
        <w:spacing w:lineRule="auto" w:line="288" w:before="240" w:after="100"/>
        <w:jc w:val="both"/>
        <w:rPr/>
      </w:pPr>
      <w:r>
        <w:rPr>
          <w:rFonts w:ascii="Times New Roman;serif" w:hAnsi="Times New Roman;serif"/>
          <w:b/>
          <w:color w:val="000000"/>
          <w:sz w:val="20"/>
        </w:rPr>
        <w:t xml:space="preserve">Legal Proceedings </w:t>
      </w:r>
      <w:r>
        <w:rPr>
          <w:rFonts w:ascii="Times New Roman;serif" w:hAnsi="Times New Roman;serif"/>
          <w:b w:val="false"/>
          <w:color w:val="000000"/>
          <w:sz w:val="20"/>
        </w:rPr>
        <w:t>- On February 20, 2024, a complaint alleging violations of federal securities laws and seeking certification as a class action was filed against the Company and certain of its current and former officers in the United States District Court for the Northern District of Georgia in Atlanta. On August 16, 2024, the plaintiff filed an amended complaint that purported to seek damages on behalf of a putative class of persons who purchased the Company’s common stock between May 6, 2021 and November 2, 2023. The amended complaint asserted claims under Sections 10(b) and 20 of the Securities Exchange Act and alleged that the Company and certain current and former officers made material misstatements and omissions to investors regarding demand for the Company’s products and its inventory levels. The amended complaint generally sought money damages, interest, attorneys’ fees, and other costs. On October 15, 2024, the defendants filed a motion to dismiss the amended complaint, which plaintiff opposed. On March 13, 2025, the court dismissed the amended complaint but granted plaintiff leave to file a second amended complaint. On April 14, 2025, plaintiff filed a second amended complaint asserting essentially the same claims</w:t>
      </w:r>
      <w:r>
        <w:rPr>
          <w:color w:val="000000"/>
        </w:rPr>
        <w:t xml:space="preserve"> </w:t>
      </w:r>
      <w:r>
        <w:rPr>
          <w:rFonts w:ascii="Times New Roman;serif" w:hAnsi="Times New Roman;serif"/>
          <w:b w:val="false"/>
          <w:color w:val="000000"/>
          <w:sz w:val="20"/>
        </w:rPr>
        <w:t>and relief. On February 10, 2026, the court issued its opinion and order dismissing with prejudice the second amended complaint for failing to state a claim. Judgment was entered on February 12, 2026, and plaintiff did not file an appeal, concluding the case.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9, 2024, and October 29, 2024, two stockholder derivative complaints were filed in the United States District Court for the Northern District of Georgia against certain of the Company’s officers and its directors, with the Company named as a nominal defendant. The cases are assigned to the same judge presiding over the securities fraud class action. The complaints are premised on substantially the same factual allegations as the securities fraud class action, but in these complaints, the plaintiff claims that the Company’s officers and directors breached their fiduciary duties or otherwise engaged in wrongdoing by allowing the underlying securities fraud to occur. Following the dismissal of the securities fraud litigation in February 2026, plaintiff agreed to voluntarily dismiss these cases without prejudice. On March 30, 2026, the parties filed a joint motion to voluntarily dismiss without prejudice, and on May 1, 2026, the court granted the motion.</w:t>
      </w:r>
    </w:p>
    <w:p>
      <w:pPr>
        <w:pStyle w:val="TextBody"/>
        <w:bidi w:val="0"/>
        <w:spacing w:lineRule="auto" w:line="288" w:before="240" w:after="100"/>
        <w:jc w:val="both"/>
        <w:rPr/>
      </w:pPr>
      <w:r>
        <w:rPr>
          <w:rFonts w:ascii="Times New Roman;serif" w:hAnsi="Times New Roman;serif"/>
          <w:b/>
          <w:color w:val="000000"/>
          <w:sz w:val="20"/>
        </w:rPr>
        <w:t xml:space="preserve">Bailment Pool Arrangements - </w:t>
      </w:r>
      <w:r>
        <w:rPr>
          <w:rFonts w:ascii="Times New Roman;serif" w:hAnsi="Times New Roman;serif"/>
          <w:b w:val="false"/>
          <w:color w:val="000000"/>
          <w:sz w:val="20"/>
        </w:rPr>
        <w:t xml:space="preserve">The Company has relationships with several OEM partners, including General Motors (“GM”), Ford Motor Company (“Ford”), and Stellantis to obtain truck chassis. For Stellantis chassis, the Company pays a cash deposit upon transfer of the chassis to the Company’s premises and records the chassis within prepaids and other current assets on the condensed consolidated balance sheets until the chassis are transferred to the dealer customer’s floor plan, at which time the cash deposit is returned to the Company. For GM and Ford, the Company entered into floor plan financing agreements with the OEM. The Company receives an allocation of chassis and pays interest expense on the allocated value of chassis based on the duration of time they are on the Company’s premises. Bailment, which is the non-ownership transfer of the chassis from GM and Ford to the Company, ends when the vehicle is sold to an authorized dealer, or upon authorized return of the vehicle to the manufacturer. The Company does not pay a cash deposit to obtain GM and Ford chassis and accordingly it does not recognize an asset or a liability related to these chassis. Interest payments made to manufacturer-affiliated finance companies are classified as operating activities in the condensed consolidated statements of cash flows.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At July 3, 2026 and January 2, 2026, the Company utilized $19,522 and $9,566, out of a maximum of $30,500 and $38,300 of Ford allocation of chassis, respectively, and $28,840 and $11,152, out of a maximum of $49,500 and $49,500 of GM allocation of chassis, respectively.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incurred interest expenses related to bailment of $453 and $677 during the three months July 3, 2026 and January 2, 2026, respectively and $935 and $1,898 during the six months ended July 3, 2026 and January 2, 2026,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9. Derivatives and Hedging</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Company is exposed to certain risks relating to its ongoing business operations. The primary risk managed by using derivative instruments is interest rate risk. The Company utilizes interest rate swaps to limit its exposure to interest rate risk by converting a portion of its floating-rate debt to a fixed-rate basis, thus reducing the impact of interest rate changes on future interest expense. Interest rate swaps involve the receipt of floating-rate amounts in exchange for fixed-rate interest payments based on the SOFR over the lives of the agreements without an exchange of the underlying principal amounts. The Company hedges the variability of cash flows in interest payments associated with the first $500,000 of its variable rate debt through the interest rate swaps.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As of July 3, 2026 and January 2, 2026, the Company had the following interest rate swap contracts:</w:t>
      </w:r>
    </w:p>
    <w:tbl>
      <w:tblPr>
        <w:tblW w:w="9906" w:type="dxa"/>
        <w:jc w:val="center"/>
        <w:tblInd w:w="0" w:type="dxa"/>
        <w:tblLayout w:type="fixed"/>
        <w:tblCellMar>
          <w:top w:w="28" w:type="dxa"/>
          <w:left w:w="28" w:type="dxa"/>
          <w:bottom w:w="28" w:type="dxa"/>
          <w:right w:w="28" w:type="dxa"/>
        </w:tblCellMar>
      </w:tblPr>
      <w:tblGrid>
        <w:gridCol w:w="630"/>
        <w:gridCol w:w="554"/>
        <w:gridCol w:w="556"/>
        <w:gridCol w:w="574"/>
        <w:gridCol w:w="574"/>
        <w:gridCol w:w="576"/>
        <w:gridCol w:w="454"/>
        <w:gridCol w:w="454"/>
        <w:gridCol w:w="456"/>
        <w:gridCol w:w="109"/>
        <w:gridCol w:w="109"/>
        <w:gridCol w:w="109"/>
        <w:gridCol w:w="438"/>
        <w:gridCol w:w="1285"/>
        <w:gridCol w:w="227"/>
        <w:gridCol w:w="109"/>
        <w:gridCol w:w="109"/>
        <w:gridCol w:w="109"/>
        <w:gridCol w:w="531"/>
        <w:gridCol w:w="1555"/>
        <w:gridCol w:w="388"/>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 (Loss) in AOCI</w:t>
            </w:r>
          </w:p>
        </w:tc>
      </w:tr>
      <w:tr>
        <w:trPr/>
        <w:tc>
          <w:tcPr>
            <w:tcW w:w="17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5, 2022</w:t>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5, 2027</w:t>
            </w:r>
          </w:p>
        </w:tc>
        <w:tc>
          <w:tcPr>
            <w:tcW w:w="13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25, 2026</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21, 2029</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26, 2025</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22, 2028</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On April 5, 2022, the Company entered into a new interest rate swap agreement with a notional amount of $100,000. On August 26, 2024, the Company entered into new interest rate swap agreements with an aggregate notional amount of $400,000, one of which matured on December 26, 2025. On December 16, 2025, the Company entered into a new three-year interest rate swap agreement, effective December 26, 2025, with a notional amount of $100,000.</w:t>
      </w:r>
    </w:p>
    <w:p>
      <w:pPr>
        <w:pStyle w:val="TextBody"/>
        <w:bidi w:val="0"/>
        <w:spacing w:lineRule="auto" w:line="288" w:before="100" w:after="100"/>
        <w:jc w:val="both"/>
        <w:rPr/>
      </w:pPr>
      <w:r>
        <w:rPr>
          <w:rFonts w:ascii="Times New Roman;serif" w:hAnsi="Times New Roman;serif"/>
          <w:b w:val="false"/>
          <w:color w:val="000000"/>
          <w:sz w:val="20"/>
        </w:rPr>
        <w:t xml:space="preserve">The interest rate swaps are indexed to a three-month Term SOFR as defined in the agreements. The interest rate swaps met the criteria as cash flow hedges under ASC 815, Derivatives and Hedging (“ASC 815”), and are recorded to prepaids and other current assets, other assets, accrued expenses, or other liabilities on the condensed consolidated balance sheets. Refer to </w:t>
      </w:r>
      <w:hyperlink w:anchor="i1670ec0dd1b14c89a7cbf2c857b7aa3c_58">
        <w:r>
          <w:rPr>
            <w:rStyle w:val="InternetLink"/>
            <w:rFonts w:ascii="Times New Roman;serif" w:hAnsi="Times New Roman;serif"/>
            <w:b w:val="false"/>
            <w:color w:val="0000FF"/>
            <w:sz w:val="20"/>
            <w:u w:val="single"/>
          </w:rPr>
          <w:t>Note 10 - Fair Value Measurements and Financial Instruments</w:t>
        </w:r>
      </w:hyperlink>
      <w:r>
        <w:rPr>
          <w:color w:val="000000"/>
        </w:rPr>
        <w:t xml:space="preserve"> </w:t>
      </w:r>
      <w:r>
        <w:rPr>
          <w:rFonts w:ascii="Times New Roman;serif" w:hAnsi="Times New Roman;serif"/>
          <w:b w:val="false"/>
          <w:color w:val="000000"/>
          <w:sz w:val="20"/>
        </w:rPr>
        <w:t>for additional information on determining the fair value. The unrealized gains or losses, after tax, will be recorded in accumulated other comprehensive income, a component of equity, and are expected to be reclassified into interest expense on the condensed consolidated statements of operations when the forecasted transactions affect earnings. As required under ASC 815, the interest rate swap contracts’ effectiveness will be assessed on a quarterly basis using a quantitative regression analysis.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unrealized gains and losses deferred to accumulated other comprehensive income resulting from the derivative instruments designated as cash flow hedges for the three and six months ended July 3, 2026 were net gains of $2,048 and $4,666, respectively; and for July 4, 2025 were a net gain of $2,130 and a loss of $1,818, respectively. The reclassifications of unrealized gains from accumulated other comprehensive income into earnings related to the derivative instruments designated as cash flow hedges during the three and six months ended July 3, 2026 were $499 and $970 respectively; and for July 4, 2025 were $1,097 and $3,004, respectively. The aggregate tax effects on activity in accumulated other comprehensive income associated with the derivative instruments designated as cash flow hedges during three and six months ended July 3, 2026 were losses of $369 and $879, respectively; and for July 4, 2025 were a gain of $249 and a loss of $1,147, respectively.</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Over the next 12 months, the Company estimates that $1,733 of existing net gain in accumulated other comprehensive income (“AOCI”) related to the interest rate swap contracts will be reclassified as a decrease to interest expense.</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10. Fair Value Measurements and Financial Instruments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hierarchy for its assets and liabilities measured at fair value on a recurring basis as of the following periods:</w:t>
      </w:r>
    </w:p>
    <w:tbl>
      <w:tblPr>
        <w:tblW w:w="11503" w:type="dxa"/>
        <w:jc w:val="left"/>
        <w:tblInd w:w="0" w:type="dxa"/>
        <w:tblLayout w:type="fixed"/>
        <w:tblCellMar>
          <w:top w:w="28" w:type="dxa"/>
          <w:left w:w="28" w:type="dxa"/>
          <w:bottom w:w="28" w:type="dxa"/>
          <w:right w:w="28" w:type="dxa"/>
        </w:tblCellMar>
      </w:tblPr>
      <w:tblGrid>
        <w:gridCol w:w="455"/>
        <w:gridCol w:w="401"/>
        <w:gridCol w:w="405"/>
        <w:gridCol w:w="211"/>
        <w:gridCol w:w="61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2,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There were no transfers of assets or liabilities between Level 1, Level 2, and Level 3 categories of the fair value hierarchy during the three and six months ended July 3, 2026.</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As of July 3, 2026, the carrying amount of the principal under the Company’s Sixth Amended Credit Agreement - Term Loan and Revolver approximated fair value because they had variable interest rates that reflected market changes in interest rates and changes in the Company’s net leverage ratio.</w:t>
      </w:r>
    </w:p>
    <w:p>
      <w:pPr>
        <w:pStyle w:val="TextBody"/>
        <w:bidi w:val="0"/>
        <w:spacing w:lineRule="auto" w:line="288" w:before="100" w:after="100"/>
        <w:jc w:val="both"/>
        <w:rPr/>
      </w:pPr>
      <w:r>
        <w:rPr>
          <w:rFonts w:ascii="Times New Roman;serif" w:hAnsi="Times New Roman;serif"/>
          <w:b w:val="false"/>
          <w:color w:val="000000"/>
          <w:sz w:val="20"/>
        </w:rPr>
        <w:t xml:space="preserve">The Company mitigates the cash flow risk associated with changes in interest rates on its variable rate debt through interest rate swap agreements. Refer to </w:t>
      </w:r>
      <w:hyperlink w:anchor="i1670ec0dd1b14c89a7cbf2c857b7aa3c_55">
        <w:r>
          <w:rPr>
            <w:rStyle w:val="InternetLink"/>
            <w:rFonts w:ascii="Times New Roman;serif" w:hAnsi="Times New Roman;serif"/>
            <w:b w:val="false"/>
            <w:color w:val="0000FF"/>
            <w:sz w:val="20"/>
            <w:u w:val="single"/>
          </w:rPr>
          <w:t>Note 9 - Derivatives and Hedging</w:t>
        </w:r>
      </w:hyperlink>
      <w:r>
        <w:rPr>
          <w:color w:val="000000"/>
        </w:rPr>
        <w:t xml:space="preserve"> </w:t>
      </w:r>
      <w:r>
        <w:rPr>
          <w:rFonts w:ascii="Times New Roman;serif" w:hAnsi="Times New Roman;serif"/>
          <w:b w:val="false"/>
          <w:color w:val="000000"/>
          <w:sz w:val="20"/>
        </w:rPr>
        <w:t>for additional details of the agreements. In accordance with ASC 815, interest rate swap contracts are recognized as assets or liabilities on the condensed consolidated balance sheets and are measured at fair values. The fair values were estimated based on expected cash flows over the life of the swaps. These expected cash flows were determined using a pricing model that incorporated reasonable assumptions and available market data.</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invests in marketable securities to mitigate the risk associated with the investment return on the non-qualified deferred compensation plan provided to executives and non-employee directors. The investments are recorded as cash and cash equivalents at their quoted market price. The corresponding deferred compensation plan liabilities are recorded at fair value based on the quoted market price of the underlying investments and are included in accrued expenses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11. Stockholders’ Equity</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Share Repurchase Plan</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On November 1, 2023, the Company’s Board of Directors authorized a share repurchase plan for up to $300,000 in shares of the Company’s common stock, par value $0.001 per share. The share repurchase program is scheduled to expire on November 1, 2028. Repurchases of shares of common stock under the stock repurchase plan will be made in accordance with applicable securities laws and may be made under a variety of methods, which may include open market purchases. The stock repurchase program does not obligate the Company to acquire any particular amount of common stock, and it may be suspended or terminated at any time at the Company’s discretion.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There were no repurchases of common stock during the six months ended July 3, 2026 and July 4, 2025. As of July 3, 2026, authorized repurchases of $250,000 remain available to the Company.</w:t>
      </w: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Equity Incentive Plans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allocation of stock-based compensation in the accompanying condensed consolidated statements of operations:</w:t>
      </w:r>
    </w:p>
    <w:tbl>
      <w:tblPr>
        <w:tblW w:w="7355" w:type="dxa"/>
        <w:jc w:val="left"/>
        <w:tblInd w:w="0" w:type="dxa"/>
        <w:tblLayout w:type="fixed"/>
        <w:tblCellMar>
          <w:top w:w="28" w:type="dxa"/>
          <w:left w:w="28" w:type="dxa"/>
          <w:bottom w:w="28" w:type="dxa"/>
          <w:right w:w="28" w:type="dxa"/>
        </w:tblCellMar>
      </w:tblPr>
      <w:tblGrid>
        <w:gridCol w:w="837"/>
        <w:gridCol w:w="732"/>
        <w:gridCol w:w="741"/>
        <w:gridCol w:w="226"/>
        <w:gridCol w:w="662"/>
        <w:gridCol w:w="117"/>
        <w:gridCol w:w="109"/>
        <w:gridCol w:w="109"/>
        <w:gridCol w:w="109"/>
        <w:gridCol w:w="226"/>
        <w:gridCol w:w="662"/>
        <w:gridCol w:w="117"/>
        <w:gridCol w:w="109"/>
        <w:gridCol w:w="109"/>
        <w:gridCol w:w="109"/>
        <w:gridCol w:w="226"/>
        <w:gridCol w:w="662"/>
        <w:gridCol w:w="117"/>
        <w:gridCol w:w="109"/>
        <w:gridCol w:w="109"/>
        <w:gridCol w:w="109"/>
        <w:gridCol w:w="226"/>
        <w:gridCol w:w="659"/>
        <w:gridCol w:w="164"/>
      </w:tblGrid>
      <w:tr>
        <w:trPr/>
        <w:tc>
          <w:tcPr>
            <w:tcW w:w="83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grants both time-based and performance-based stock awards, which also include a time-based vesting feature. Compensation expense for time-based stock awards is measured at the grant date based on the closing market price of the Company’s common stock and recognized ratably over the vesting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performance-based stock awards, compensation expense is measured based on estimates of the number of shares ultimately expected to vest at each reporting date based on management’s expectations regarding the relevant performance criteria. The recognition of compensation expense associated with performance-based stock awards requires defined criteria for assessing achievement and judgment in assessing the probability of meeting the performance goals.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the Company’s unvested restricted stock units (“RSUs”) for the six months ended July 3, 2026:</w:t>
      </w:r>
    </w:p>
    <w:tbl>
      <w:tblPr>
        <w:tblW w:w="8064" w:type="dxa"/>
        <w:jc w:val="left"/>
        <w:tblInd w:w="0" w:type="dxa"/>
        <w:tblLayout w:type="fixed"/>
        <w:tblCellMar>
          <w:top w:w="28" w:type="dxa"/>
          <w:left w:w="28" w:type="dxa"/>
          <w:bottom w:w="28" w:type="dxa"/>
          <w:right w:w="28" w:type="dxa"/>
        </w:tblCellMar>
      </w:tblPr>
      <w:tblGrid>
        <w:gridCol w:w="875"/>
        <w:gridCol w:w="768"/>
        <w:gridCol w:w="771"/>
        <w:gridCol w:w="759"/>
        <w:gridCol w:w="759"/>
        <w:gridCol w:w="761"/>
        <w:gridCol w:w="109"/>
        <w:gridCol w:w="109"/>
        <w:gridCol w:w="109"/>
        <w:gridCol w:w="653"/>
        <w:gridCol w:w="1912"/>
        <w:gridCol w:w="47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RSUs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2, 2026</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July 3, 2026</w:t>
            </w:r>
          </w:p>
        </w:tc>
        <w:tc>
          <w:tcPr>
            <w:tcW w:w="15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As of July 3, 2026, the Company had approximately $19,790 of unrecognized stock-based compensation expense related to RSUs, which will be recognized over the remaining weighted-average vesting period of approximately 1.97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 2026, the Company issued performance-based restricted stock units (“PSUs”) to certain executives that represent shares potentially issuable in the future. Issuance is based upon the Company’s performance, over a three-year performance period, on certain measures including return on invested capital and free cash flow. The PSUs vest only upon the achievement of the applicable performance goals for the performance period and, depending on the actual achievement on the performance goals, the grantee may earn between 0% and 200% of the target PSUs.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the Company’s unvested PSUs for the six months ended July 3, 2026:</w:t>
      </w:r>
    </w:p>
    <w:tbl>
      <w:tblPr>
        <w:tblW w:w="8064" w:type="dxa"/>
        <w:jc w:val="left"/>
        <w:tblInd w:w="0" w:type="dxa"/>
        <w:tblLayout w:type="fixed"/>
        <w:tblCellMar>
          <w:top w:w="28" w:type="dxa"/>
          <w:left w:w="28" w:type="dxa"/>
          <w:bottom w:w="28" w:type="dxa"/>
          <w:right w:w="28" w:type="dxa"/>
        </w:tblCellMar>
      </w:tblPr>
      <w:tblGrid>
        <w:gridCol w:w="875"/>
        <w:gridCol w:w="768"/>
        <w:gridCol w:w="771"/>
        <w:gridCol w:w="759"/>
        <w:gridCol w:w="759"/>
        <w:gridCol w:w="761"/>
        <w:gridCol w:w="109"/>
        <w:gridCol w:w="109"/>
        <w:gridCol w:w="109"/>
        <w:gridCol w:w="653"/>
        <w:gridCol w:w="1912"/>
        <w:gridCol w:w="479"/>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PSUs</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January 2, 2026</w:t>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7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July 3, 2026</w:t>
            </w:r>
          </w:p>
        </w:tc>
        <w:tc>
          <w:tcPr>
            <w:tcW w:w="151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PSUs is calculated based on the stock price on the grant date, assuming the performance goals will be achieved at target. The stock-based compensation expense recognized each period is dependent upon our estimate of the number of shares that will ultimately vest based on the achievement of certain performance conditions. Future stock-based compensation expense for unvested PSUs could reach a maximum of $25,314, assuming achievement at the maximum level. The unrecognized stock-based compensation expense is expected to be recognized over a weighted average period of 1.45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12. Net Earnings (Loss) Per Share</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Basic earnings per share amounts are computed by dividing earnings (net loss) for the period by the weighted average number of common shares outstanding during the period. Diluted earnings per share amounts are computed by dividing earnings (net loss) for the period by the weighted average number of shares of common stock and potentially dilutive common stock outstanding during the period. Potentially dilutive common shares include shares issuable upon the exercise of outstanding stock options and vesting of RSUs and PSUs, which are reflected in diluted earnings per share by application of the treasury stock method.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When the Company incurs a net loss for a period, all potential common shares are considered anti-dilutive in accordance with ASC 260. Accordingly, diluted net loss per share is the same as basic net loss per share for such periods, and the impact of stock-based awards and other potentially dilutive securities is excluded from the computation of diluted net loss per share.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excluded 288 and 241 shares from the calculation of diluted earnings per share for the three months ended July 3, 2026 and July 4, 2025, respectively, as these shares would have been antidilutive. Due to the net loss reported for the six months ended July 3, 2026 and July 4, 2025, there were no dilutive shares included in the calculation of diluted net loss per share for the period.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earnings per share:</w:t>
      </w:r>
    </w:p>
    <w:tbl>
      <w:tblPr>
        <w:tblW w:w="10205" w:type="dxa"/>
        <w:jc w:val="left"/>
        <w:tblInd w:w="0" w:type="dxa"/>
        <w:tblLayout w:type="fixed"/>
        <w:tblCellMar>
          <w:top w:w="28" w:type="dxa"/>
          <w:left w:w="28" w:type="dxa"/>
          <w:bottom w:w="28" w:type="dxa"/>
          <w:right w:w="28" w:type="dxa"/>
        </w:tblCellMar>
      </w:tblPr>
      <w:tblGrid>
        <w:gridCol w:w="1768"/>
        <w:gridCol w:w="1551"/>
        <w:gridCol w:w="1556"/>
        <w:gridCol w:w="223"/>
        <w:gridCol w:w="654"/>
        <w:gridCol w:w="115"/>
        <w:gridCol w:w="109"/>
        <w:gridCol w:w="109"/>
        <w:gridCol w:w="109"/>
        <w:gridCol w:w="223"/>
        <w:gridCol w:w="654"/>
        <w:gridCol w:w="115"/>
        <w:gridCol w:w="109"/>
        <w:gridCol w:w="109"/>
        <w:gridCol w:w="109"/>
        <w:gridCol w:w="211"/>
        <w:gridCol w:w="785"/>
        <w:gridCol w:w="109"/>
        <w:gridCol w:w="109"/>
        <w:gridCol w:w="109"/>
        <w:gridCol w:w="109"/>
        <w:gridCol w:w="211"/>
        <w:gridCol w:w="890"/>
        <w:gridCol w:w="159"/>
      </w:tblGrid>
      <w:tr>
        <w:trPr/>
        <w:tc>
          <w:tcPr>
            <w:tcW w:w="1768"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FOX stockholders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(256,950)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earnings per share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employee stock plans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diluted earnings per share</w:t>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 per share:</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13. Income Taxes</w:t>
      </w:r>
    </w:p>
    <w:tbl>
      <w:tblPr>
        <w:tblW w:w="8358" w:type="dxa"/>
        <w:jc w:val="left"/>
        <w:tblInd w:w="0" w:type="dxa"/>
        <w:tblLayout w:type="fixed"/>
        <w:tblCellMar>
          <w:top w:w="28" w:type="dxa"/>
          <w:left w:w="28" w:type="dxa"/>
          <w:bottom w:w="28" w:type="dxa"/>
          <w:right w:w="28" w:type="dxa"/>
        </w:tblCellMar>
      </w:tblPr>
      <w:tblGrid>
        <w:gridCol w:w="1091"/>
        <w:gridCol w:w="960"/>
        <w:gridCol w:w="964"/>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541"/>
        <w:gridCol w:w="316"/>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3, 2026, the difference between the Company’s effective tax rate of 36.0% and the 21% federal statutory rate was primarily due to unfavorable impact of discrete items in proportion to lower levels of pre-tax income.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3, 2026, the difference between the Company’s effective tax rate of (17.8)% and the 21% federal statutory rate was primarily due to lower pre</w:t>
        <w:noBreakHyphen/>
        <w:t>tax earnings for the quarter and the tax effects of discrete items recognized in connection with the sale of the Arizona entities.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4, 2025, the difference between the Company’s effective tax rate of 50.9% and the 21% federal statutory rate was primarily due to unfavorable impact of discrete items in proportion to lower levels of pre-tax income.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4, 2025, the difference between the Company’s effective tax rate of 0.3% and the 21% federal statutory rate was due to the impairment impact of the non-deductible goodwill.</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do not expect the results from any ongoing income tax audits to have a material impact on our consolidated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manage our activities based on three operating segments: Powered Vehicles Group, Aftermarket Applications Group, and Specialty Sports Group. All of our segments design, engineer, and manufacture performance-defining products and systems for customers worldwide.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our operating segments.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Powered Vehicles Group: This segment operates 2 plants in the United States and 1 plant in Italy. Our premium products sold under the FOX brand are for off-road vehicles and trucks, side-by-sides, on-road vehicles with and without off-road capabilities, ATVs, snowmobiles, specialty vehicles and applications, and commercial trucks, and the Marzocchi brand for motorcycles. These products are sold through both OEM and aftermarket channels.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Aftermarket Applications Group: This segment operates 10 plants across the United States. Our range of aftermarket applications products includes premium products under the BDS Suspension, Zone Offroad, JKS Manufacturing, RT Pro UTV, 4x4 Posi-Lok, Ridetech, Tuscany, Outside Van, SCA, RTR, Fun-Haver, and Custom Wheel House brands designed for off-road vehicles and trucks, side-by-sides, on-road vehicles with and without off-road capabilities, specialty vehicles and applications, and commercial trucks.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Specialty Sports Group: This segment operates 8 plants and 10 distribution facilities (9 in the United States, 3 in Taiwan, and 1 facility each in Australia, Canada, Japan, Sweden, Switzerland, and United Kingdom). Our bike product offerings are used on a wide range of performance mountain bikes, e-bikes, and gravel bikes under the FOX, Race Face, Easton Cycling, and Marzocchi brands. These products are sold through both OEM and aftermarket channels. Our products for diamond sports include premium baseball and softball equipment under the Marucci, Victus, Lizard Skins, and Baum Bat brands and are sold through dealers and distributors and through direct-to-customer channels.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Net sales and expenses are measured in accordance with the policies and procedures described in Note 1 – Description of the Business, Basis of Presentation and Summary of Significant Accounting Policies included in our Annual Report on Form 10-K for the fiscal year ended January 2, 2026, as filed with the SEC on February 27, 2026.</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We measure the profitability and financial performance of our operating segments based on adjusted EBITDA. Adjusted EBITDA provides a measure of our underlying segment results that is in line with our approach to risk management. We define adjusted EBITDA as net income adjusted for (a) interest expense, (b) income tax or tax benefits, (c) amortization including amortization of purchased intangibles, (d) depreciation, (e) stock-based compensation, (f) litigation and settlement related expenses, (g) organizational restructuring expenses, (h) acquisition and integration-related expenses, (i) strategic transformation costs, (j) goodwill impairment, and (k) loss on divestiture.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Segment asset information is not presented because it is not evaluated by the CODM at the segment level.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tables that follow show selected segment financial information including information for prior comparative periods. Unallocated corporate expenses are corporate overhead expenses that are not directly attributable to one of our business segments and include unallocated occupancy costs for our corporate headquarters, acquisition costs, other benefit and compensation programs, including performance-based compensation, and administrative expenses such as accounting, finance, legal, human resources, and information technology expenses.</w:t>
      </w:r>
    </w:p>
    <w:tbl>
      <w:tblPr>
        <w:tblW w:w="10205" w:type="dxa"/>
        <w:jc w:val="left"/>
        <w:tblInd w:w="0" w:type="dxa"/>
        <w:tblLayout w:type="fixed"/>
        <w:tblCellMar>
          <w:top w:w="28" w:type="dxa"/>
          <w:left w:w="28" w:type="dxa"/>
          <w:bottom w:w="28" w:type="dxa"/>
          <w:right w:w="28" w:type="dxa"/>
        </w:tblCellMar>
      </w:tblPr>
      <w:tblGrid>
        <w:gridCol w:w="1551"/>
        <w:gridCol w:w="1313"/>
        <w:gridCol w:w="133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97"/>
        <w:gridCol w:w="156"/>
      </w:tblGrid>
      <w:tr>
        <w:trPr/>
        <w:tc>
          <w:tcPr>
            <w:tcW w:w="155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729,894 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acquisition and integration-related expenses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Organizational restructuring expenses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Strategic transformation costs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(257,866)</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Depreciation excludes amortization for purchase accounting property, plant and equipment fair value adjustment and accelerated depreciation related to organizational restructuring initiatives.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(2) Represents various acquisition-related costs and expenses incurred to integrate acquired entities into the Company’s operations and the impact of the finished goods inventory valuation adjustment recorded in connection with the purchase of acquired assets.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(3) Represents expenses associated with various restructuring initiatives intended to improve operational efficiency, realign resources, and support the Company’s long-term strategic objectives, including employee severance, relocation expenses, and consulting and advisory fees.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(4) Represents third-party consulting, advisory and other direct costs incurred in connection with the Company’s multi-phase profit optimization and transformation program and its review of strategic alternatives for non-core assets.</w:t>
      </w:r>
    </w:p>
    <w:p>
      <w:pPr>
        <w:pStyle w:val="TextBody"/>
        <w:bidi w:val="0"/>
        <w:spacing w:before="18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FOX FACTORY HOLDING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21"/>
        </w:rPr>
        <w:t>)</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CODM relies on adjusted EBITDA for assessing performance and allocating resources across segments. On a regular basis, the CODM reviews budget-to-actual variances for adjusted EBITDA to guide capital and personnel distribution. During the annual budgeting and forecasting process, segment adjusted EBITDA is used by the CODM to measure segment performance and to allocate resources such as employees, financial assets, or capital. Additionally, adjusted EBITDA is reviewed by the CODM in evaluating the efficiency of cost management strategies within each segment, ensuring that financial and operational resources are optimized and aligned with the Company's overall strategic objectives. No expense details by segment are regularly provided to the CODM, and accordingly, no significant segment expenses have been disclosed. The CODM reviews consolidated expense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other segment items that consist of costs of sales and operating expenses excluding goodwill impairment, intangible and long-lived asset impairment, depreciation and amortization, non-cash stock-based compensation, litigation and settlement-related expenses, other acquisition and integration-related expenses, organizational restructuring-related expenses, and strategic transformation costs, which represent the computable difference between segment net sales and segment adjusted EBITDA.</w:t>
      </w:r>
    </w:p>
    <w:tbl>
      <w:tblPr>
        <w:tblW w:w="8340" w:type="dxa"/>
        <w:jc w:val="left"/>
        <w:tblInd w:w="0" w:type="dxa"/>
        <w:tblLayout w:type="fixed"/>
        <w:tblCellMar>
          <w:top w:w="28" w:type="dxa"/>
          <w:left w:w="28" w:type="dxa"/>
          <w:bottom w:w="28" w:type="dxa"/>
          <w:right w:w="28" w:type="dxa"/>
        </w:tblCellMar>
      </w:tblPr>
      <w:tblGrid>
        <w:gridCol w:w="988"/>
        <w:gridCol w:w="869"/>
        <w:gridCol w:w="87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40"/>
        <w:jc w:val="left"/>
        <w:rPr>
          <w:rFonts w:ascii="Times New Roman;serif" w:hAnsi="Times New Roman;serif"/>
          <w:b/>
          <w:color w:val="000000"/>
          <w:sz w:val="20"/>
        </w:rPr>
      </w:pPr>
      <w:r>
        <w:rPr>
          <w:rFonts w:ascii="Times New Roman;serif" w:hAnsi="Times New Roman;serif"/>
          <w:b/>
          <w:color w:val="000000"/>
          <w:sz w:val="20"/>
        </w:rPr>
        <w:t>15. Divestiture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the Company divested its Phoenix, Arizona AAG operations, including the Shock Therapy, Upfit UTV, and Geiser businesses, as part of ongoing efforts to streamline operations. The Company sold the businesses to S&amp;G Holdings and Investments Company (“S&amp;G”) and the former general manager of the businesses who was also the prior owner of Shock Therapy, whose employment with the Company ended upon execution of the transaction. The transaction was conducted on terms comparable to those that would have been obtained in a transaction with an unrelated party.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consideration consisted of $5,000 in cash and a promissory note receivable of $22,575, bearing interest at a rate of 6.75% per annum, with a maturity date of June 30, 2028. The Company recorded a $10,612 loss associated with the sale that is presented in other (income) expense, net on the condensed consolidated statement of operations. The divestiture did not represent a strategic shift with a major effect on the Company’s operations and financial results and, therefore, is not reported as a discontinued operation.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As part of the divestiture, the Company obtained a warrant to purchase 10% of the fully diluted common equity of S&amp;G at a nominal exercise price of $0.01 per share. The warrant is exercisable beginning on the earlier of February 26, 2029 or upon notice of a fundamental transaction involving S&amp;G, and expires on February 26, 2036. The warrant is exercisable through cash exercise only. The initial fair value of the warrant was determined to be zero based on a Level 3 measurement under ASC 820, using unobservable inputs including management's assessment of the enterprise value of S&amp;G, the capital structure and leverage of the entity, the historical financial performance of the underlying businesses, and the impact of the exercise lockout period on time value. The Company elected to account for the warrant under the measurement alternative in ASC 321-10-35-2, measuring it at cost minus impairment, adjusted for observable price changes. As of July 3, 2026, the carrying amount of the warrant was zero. No impairments, downward adjustments, or upward adjustments have been recognized since the warrant was obtained.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divestiture, the Company retained an operating lease for a facility previously shared with Shock Therapy and entered into a sublease arrangement with the buyer. The sublease had a remaining term of approximately four years and was expected to provide aggregate sublease income of approximately $630. The Company's obligations under the head lease were unchanged by the sublease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00" w:after="1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unaudited condensed consolidated financial statements and related notes thereto included elsewhere in this Quarterly Report on Form 10-Q and with our audited consolidated financial statements and related notes included in our Annual Report on Form 10-K for the fiscal year ended January 2, 2026, as filed with the SEC on February 27, 2026, and our other reports and registration statements that we file with the SEC from time to time. In addition to historical condensed consolidated financial information, the following discussion contains forward-looking statements that reflect our plans, estimates, and beliefs. Our actual results could differ materially from those discussed below. Factors that could cause or contribute to these differences include those discussed below and elsewhere in this Quarterly Report on Form 10-Q, particularly in the “Risk Factors” section included in Part II, Item 1A.</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“FOX,” the “Company,” “we,” “us,” and “our” in this Quarterly Report on Form 10-Q refer to Fox Factory Holding Corp. and its operating subsidiaries on a consolidated basis.</w:t>
      </w:r>
    </w:p>
    <w:p>
      <w:pPr>
        <w:pStyle w:val="TextBody"/>
        <w:bidi w:val="0"/>
        <w:spacing w:lineRule="auto" w:line="288" w:before="240" w:after="100"/>
        <w:jc w:val="both"/>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which are subject to the “safe harbor” created by Section 27A of the Securities Act of 1933, as amended (the “Securities Act”), and Section 21E of the Securities Exchange Act of 1934, as amended (the “Exchange Act”). We may make forward-looking statements in our SEC filings, press releases, news articles, earnings presentations and when we are speaking on behalf of the Company. Forward-looking statements generally relate to future events or our future financial or operating performance that involve substantial risks and uncertainties. In some cases, you can identify forward-looking statements because they contain words such as “may,” “might,” “will,” “would,” “should,” “expect,” “plan,” “anticipate,” “could,” “can,” “intend,” “target,” “project,” “contemplate,” “believe,” “estimate,” “predict,” “likely,” “potential”, “remain”, or “continue” or the negative of these words or other similar terms or expressions that concern our expectations, strategy, plans, or intentions. Forward-looking statements contained in this Quarterly Report on Form 10-Q are subject to numerous risks and uncertainties, including but not limited to risks related to:</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changes in general economic conditions, including, among others, market and macro-economic disruptions resulting from escalating tensions between China and Taiwan, the war in Iran, or similar events, due to inflation, higher interest rates, or tariffs, or due to the spread of infectious or contagious disease or public health issues;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dependency on a limited number of suppliers for materials, component parts, and product could lead to an increase in material costs, disruptions in our supply chain, or reputational costs;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develop new and innovative products in our current end-markets;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leverage our technologies and brand to expand into new categories and end-markets;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increase our aftermarket penetration;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accelerate international growth;</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exposure to currency exchange rate fluctuations;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loss of key customers;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accurately forecast demand for our products;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improve operating and supply chain efficiencies;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changes in commodity, freight, and tariff costs (including tariff relief or our ability to mitigate tariffs, particularly in light of the policies of the current presidential administration and retaliatory actions in response thereto);</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mitigate increasing input costs through pricing or other measures;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economic conditions that impact consumer spending or consumer credit, including changes in inflation or interest rates;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enforce our intellectual property rights;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future financial performance, including our net sales, cost of sales, gross profit or gross margins, operating expenses, ability to generate positive cash flow, ability to maintain our profitability, and ability to remain in compliance with financial covenants;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maintain our premium brand image and high-performance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execute our cost optimization efforts and identify and capitalize on other strategic initiatives, including possible divestitures, sales, or related transactions involving one or more of our businesses or assets and any other actions we take related to our strategic review of our portfolio;</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decision and ability to market and execute potential strategic transactions, which depend on, among other factors, third-party interest, valuation considerations and regulatory requirements;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maintain relationships with the professional athletes and race teams we sponsor;</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selectively add additional dealers and distributors in certain geographic markets;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growth of the markets in which we compete, our expectations regarding consumer preferences, and our ability to respond to changes in consumer preferences and effectively compete against competitors;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changes in demand for performance-defining products;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loss of key personnel, management, and skilled engineers;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 xml:space="preserve">our ability to successfully identify, evaluate and manage potential or completed acquisitions and to benefit from such acquisitions; </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the outcome of pending litigation;</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future disruptions in the operations of our manufacturing facilities;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adapt our business model to mitigate the impact of certain changes in tax laws, tariffs, international trade policies, and other regulatory matters;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assess and monitor the effects of new technological applications, such as artificial intelligence, on our business and operations;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our ability to protect against cybersecurity incidents and disruptions or failures of our information technology systems;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changes in the relative proportion of profit earned in the numerous jurisdictions in which we do business and in tax legislation, case law and other authoritative guidance in those jurisdictions;</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product recalls and product liability claims; and</w:t>
      </w:r>
    </w:p>
    <w:p>
      <w:pPr>
        <w:pStyle w:val="TextBody"/>
        <w:bidi w:val="0"/>
        <w:spacing w:lineRule="auto" w:line="288" w:before="100" w:after="100"/>
        <w:ind w:left="0" w:right="0" w:hanging="360"/>
        <w:jc w:val="both"/>
        <w:rPr/>
      </w:pPr>
      <w:r>
        <w:rPr>
          <w:color w:val="000000"/>
        </w:rPr>
        <w:t>•</w:t>
      </w:r>
      <w:r>
        <w:rPr>
          <w:rFonts w:ascii="Times New Roman;serif" w:hAnsi="Times New Roman;serif"/>
          <w:b w:val="false"/>
          <w:color w:val="000000"/>
          <w:sz w:val="20"/>
        </w:rPr>
        <w:t>future economic or market conditions.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not rely upon forward-looking statements as predictions of future events. We based the forward-looking statements contained in this Quarterly Report on Form 10-Q primarily on our current expectations and projections about future events and trends that we believe may affect our business, financial condition, results of operations, and prospects and the outcomes of any of the events described in any forward-looking statements are subject to risks, uncertainties, and other factors. In addition to the risks, uncertainties, and other factors discussed above and elsewhere in this Quarterly Report on Form 10-Q, the risks, uncertainties, and other factors expressed or implied in Part I, Item 1A. “Risk Factors” of our Annual Report on Form 10-K for the fiscal year ended January 2, 2026, as filed with the SEC on February 27, 2026, could cause or contribute to actual results differing materially from those set forth in any forward-looking statement. Moreover, we operate in a very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you should not place undue reliance on our forward-looking statements. Actual results, events, or circumstances could differ materially from those contemplated by, set forth in, or underlying any forward-looking statements. For all of these forward-looking statements, we claim the protection of the safe harbor for forward-looking statements in Section 27A of the Securities Act and Section 21E of the Exchange Act.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the occurrence of unanticipated events or otherwise, except as required by law. Our forward-looking statements do not reflect the potential impact of any future acquisitions, mergers, dispositions, joint ventures, or investments we may make or choose not to make.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to the critical accounting policies and estimates described in our Annual Report on Form 10-K for the fiscal year ended January 2, 2026, as filed with the SEC on February 27, 2026, that had a material impact on our unaudited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100"/>
        <w:jc w:val="both"/>
        <w:rPr/>
      </w:pPr>
      <w:r>
        <w:rPr>
          <w:rFonts w:ascii="Times New Roman;serif" w:hAnsi="Times New Roman;serif"/>
          <w:b w:val="false"/>
          <w:color w:val="000000"/>
          <w:sz w:val="20"/>
        </w:rPr>
        <w:t xml:space="preserve">See </w:t>
      </w:r>
      <w:hyperlink w:anchor="i1670ec0dd1b14c89a7cbf2c857b7aa3c_31">
        <w:r>
          <w:rPr>
            <w:rStyle w:val="InternetLink"/>
            <w:rFonts w:ascii="Times New Roman;serif" w:hAnsi="Times New Roman;serif"/>
            <w:b w:val="false"/>
            <w:color w:val="0000FF"/>
            <w:sz w:val="20"/>
            <w:u w:val="single"/>
          </w:rPr>
          <w:t>Note 1 - Description of the Business, Basis of Presentation, and Summary of Significant Accounting Policies</w:t>
        </w:r>
      </w:hyperlink>
      <w:r>
        <w:rPr>
          <w:color w:val="000000"/>
        </w:rPr>
        <w:t xml:space="preserve"> </w:t>
      </w:r>
      <w:r>
        <w:rPr>
          <w:rFonts w:ascii="Times New Roman;serif" w:hAnsi="Times New Roman;serif"/>
          <w:b w:val="false"/>
          <w:color w:val="000000"/>
          <w:sz w:val="20"/>
        </w:rPr>
        <w:t>to the accompanying notes to unaudited condensed consolidated financial statements included in this Quarterly Report on Form 10-Q for further details regarding this topic.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results of operations:</w:t>
      </w:r>
    </w:p>
    <w:tbl>
      <w:tblPr>
        <w:tblW w:w="9432" w:type="dxa"/>
        <w:jc w:val="left"/>
        <w:tblInd w:w="0" w:type="dxa"/>
        <w:tblLayout w:type="fixed"/>
        <w:tblCellMar>
          <w:top w:w="28" w:type="dxa"/>
          <w:left w:w="28" w:type="dxa"/>
          <w:bottom w:w="28" w:type="dxa"/>
          <w:right w:w="28" w:type="dxa"/>
        </w:tblCellMar>
      </w:tblPr>
      <w:tblGrid>
        <w:gridCol w:w="1587"/>
        <w:gridCol w:w="1394"/>
        <w:gridCol w:w="1399"/>
        <w:gridCol w:w="226"/>
        <w:gridCol w:w="662"/>
        <w:gridCol w:w="117"/>
        <w:gridCol w:w="109"/>
        <w:gridCol w:w="109"/>
        <w:gridCol w:w="109"/>
        <w:gridCol w:w="226"/>
        <w:gridCol w:w="662"/>
        <w:gridCol w:w="117"/>
        <w:gridCol w:w="109"/>
        <w:gridCol w:w="109"/>
        <w:gridCol w:w="109"/>
        <w:gridCol w:w="226"/>
        <w:gridCol w:w="662"/>
        <w:gridCol w:w="117"/>
        <w:gridCol w:w="109"/>
        <w:gridCol w:w="109"/>
        <w:gridCol w:w="109"/>
        <w:gridCol w:w="211"/>
        <w:gridCol w:w="691"/>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FOX stockholders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*Amounts may not foot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selected statement of income data as a percentage of net sales for the periods indicated: </w:t>
      </w:r>
    </w:p>
    <w:tbl>
      <w:tblPr>
        <w:tblW w:w="10205" w:type="dxa"/>
        <w:jc w:val="left"/>
        <w:tblInd w:w="0" w:type="dxa"/>
        <w:tblLayout w:type="fixed"/>
        <w:tblCellMar>
          <w:top w:w="28" w:type="dxa"/>
          <w:left w:w="28" w:type="dxa"/>
          <w:bottom w:w="28" w:type="dxa"/>
          <w:right w:w="28" w:type="dxa"/>
        </w:tblCellMar>
      </w:tblPr>
      <w:tblGrid>
        <w:gridCol w:w="1543"/>
        <w:gridCol w:w="1332"/>
        <w:gridCol w:w="1330"/>
        <w:gridCol w:w="308"/>
        <w:gridCol w:w="308"/>
        <w:gridCol w:w="541"/>
        <w:gridCol w:w="171"/>
        <w:gridCol w:w="171"/>
        <w:gridCol w:w="171"/>
        <w:gridCol w:w="308"/>
        <w:gridCol w:w="308"/>
        <w:gridCol w:w="541"/>
        <w:gridCol w:w="109"/>
        <w:gridCol w:w="109"/>
        <w:gridCol w:w="109"/>
        <w:gridCol w:w="308"/>
        <w:gridCol w:w="308"/>
        <w:gridCol w:w="541"/>
        <w:gridCol w:w="155"/>
        <w:gridCol w:w="155"/>
        <w:gridCol w:w="155"/>
        <w:gridCol w:w="308"/>
        <w:gridCol w:w="308"/>
        <w:gridCol w:w="608"/>
      </w:tblGrid>
      <w:tr>
        <w:trPr/>
        <w:tc>
          <w:tcPr>
            <w:tcW w:w="154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4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6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w:t>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FOX stockholders</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6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*Percentages may not foot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00" w:after="100"/>
        <w:jc w:val="left"/>
        <w:rPr>
          <w:rFonts w:ascii="Times New Roman;serif" w:hAnsi="Times New Roman;serif"/>
          <w:b/>
          <w:i/>
          <w:color w:val="000000"/>
          <w:sz w:val="20"/>
        </w:rPr>
      </w:pPr>
      <w:r>
        <w:rPr>
          <w:rFonts w:ascii="Times New Roman;serif" w:hAnsi="Times New Roman;serif"/>
          <w:b/>
          <w:i/>
          <w:color w:val="000000"/>
          <w:sz w:val="20"/>
        </w:rPr>
        <w:t xml:space="preserve">Three months ended July 3, 2026 compared to three months ended July 4, 2025 </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Net sales</w:t>
      </w:r>
    </w:p>
    <w:tbl>
      <w:tblPr>
        <w:tblW w:w="5973" w:type="dxa"/>
        <w:jc w:val="left"/>
        <w:tblInd w:w="0" w:type="dxa"/>
        <w:tblLayout w:type="fixed"/>
        <w:tblCellMar>
          <w:top w:w="28" w:type="dxa"/>
          <w:left w:w="28" w:type="dxa"/>
          <w:bottom w:w="28" w:type="dxa"/>
          <w:right w:w="28" w:type="dxa"/>
        </w:tblCellMar>
      </w:tblPr>
      <w:tblGrid>
        <w:gridCol w:w="353"/>
        <w:gridCol w:w="310"/>
        <w:gridCol w:w="311"/>
        <w:gridCol w:w="226"/>
        <w:gridCol w:w="662"/>
        <w:gridCol w:w="117"/>
        <w:gridCol w:w="109"/>
        <w:gridCol w:w="109"/>
        <w:gridCol w:w="109"/>
        <w:gridCol w:w="226"/>
        <w:gridCol w:w="662"/>
        <w:gridCol w:w="117"/>
        <w:gridCol w:w="109"/>
        <w:gridCol w:w="109"/>
        <w:gridCol w:w="109"/>
        <w:gridCol w:w="213"/>
        <w:gridCol w:w="592"/>
        <w:gridCol w:w="110"/>
        <w:gridCol w:w="109"/>
        <w:gridCol w:w="109"/>
        <w:gridCol w:w="109"/>
        <w:gridCol w:w="240"/>
        <w:gridCol w:w="240"/>
        <w:gridCol w:w="613"/>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Total net sales for the three months ended July 3, 2026 decreased $16.8 million, or 4.5%, compared to the three months ended July 4, 2025. The decrease in net sales is driven by OEMs, distributors and dealers reducing inventory levels in response to market-wide economic conditions and lost revenues from divested businesses, offset by strengthening demand across powersports and AAG products.</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6139" w:type="dxa"/>
        <w:jc w:val="left"/>
        <w:tblInd w:w="0" w:type="dxa"/>
        <w:tblLayout w:type="fixed"/>
        <w:tblCellMar>
          <w:top w:w="28" w:type="dxa"/>
          <w:left w:w="28" w:type="dxa"/>
          <w:bottom w:w="28" w:type="dxa"/>
          <w:right w:w="28" w:type="dxa"/>
        </w:tblCellMar>
      </w:tblPr>
      <w:tblGrid>
        <w:gridCol w:w="413"/>
        <w:gridCol w:w="363"/>
        <w:gridCol w:w="364"/>
        <w:gridCol w:w="226"/>
        <w:gridCol w:w="662"/>
        <w:gridCol w:w="117"/>
        <w:gridCol w:w="109"/>
        <w:gridCol w:w="109"/>
        <w:gridCol w:w="109"/>
        <w:gridCol w:w="226"/>
        <w:gridCol w:w="662"/>
        <w:gridCol w:w="117"/>
        <w:gridCol w:w="109"/>
        <w:gridCol w:w="109"/>
        <w:gridCol w:w="109"/>
        <w:gridCol w:w="241"/>
        <w:gridCol w:w="550"/>
        <w:gridCol w:w="124"/>
        <w:gridCol w:w="109"/>
        <w:gridCol w:w="109"/>
        <w:gridCol w:w="109"/>
        <w:gridCol w:w="240"/>
        <w:gridCol w:w="240"/>
        <w:gridCol w:w="61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Cost of sales for the three months ended July 3, 2026 decreased $9.5 million, or 3.7%, compared to the three months ended July 4, 2025. The decrease in cost of sales is mainly due to lower sales and our optimization efforts. Our gross margin decreased 60 basis points to 30.6% for the three months ended July 3, 2026, as compared to the same prior fiscal year period, primarily due to shifts in our product line mix.</w:t>
      </w:r>
    </w:p>
    <w:p>
      <w:pPr>
        <w:pStyle w:val="TextBody"/>
        <w:bidi w:val="0"/>
        <w:spacing w:lineRule="auto" w:line="288" w:before="36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8255" w:type="dxa"/>
        <w:jc w:val="left"/>
        <w:tblInd w:w="0" w:type="dxa"/>
        <w:tblLayout w:type="fixed"/>
        <w:tblCellMar>
          <w:top w:w="28" w:type="dxa"/>
          <w:left w:w="28" w:type="dxa"/>
          <w:bottom w:w="28" w:type="dxa"/>
          <w:right w:w="28" w:type="dxa"/>
        </w:tblCellMar>
      </w:tblPr>
      <w:tblGrid>
        <w:gridCol w:w="1174"/>
        <w:gridCol w:w="1031"/>
        <w:gridCol w:w="1035"/>
        <w:gridCol w:w="254"/>
        <w:gridCol w:w="618"/>
        <w:gridCol w:w="132"/>
        <w:gridCol w:w="115"/>
        <w:gridCol w:w="115"/>
        <w:gridCol w:w="115"/>
        <w:gridCol w:w="254"/>
        <w:gridCol w:w="618"/>
        <w:gridCol w:w="132"/>
        <w:gridCol w:w="109"/>
        <w:gridCol w:w="109"/>
        <w:gridCol w:w="109"/>
        <w:gridCol w:w="241"/>
        <w:gridCol w:w="550"/>
        <w:gridCol w:w="124"/>
        <w:gridCol w:w="109"/>
        <w:gridCol w:w="109"/>
        <w:gridCol w:w="109"/>
        <w:gridCol w:w="240"/>
        <w:gridCol w:w="240"/>
        <w:gridCol w:w="613"/>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6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operating expenses for the three months ended July 3, 2026 were $92.2 million, compared to $98.5 million for the three months ended July 4, 2025. General and administrative expenses decreased $4.8 million and sales and marketing expenses decreased by $1.8 million mainly due to our strategic optimization initiatives.</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Income from operations</w:t>
      </w:r>
    </w:p>
    <w:tbl>
      <w:tblPr>
        <w:tblW w:w="7055" w:type="dxa"/>
        <w:jc w:val="left"/>
        <w:tblInd w:w="0" w:type="dxa"/>
        <w:tblLayout w:type="fixed"/>
        <w:tblCellMar>
          <w:top w:w="28" w:type="dxa"/>
          <w:left w:w="28" w:type="dxa"/>
          <w:bottom w:w="28" w:type="dxa"/>
          <w:right w:w="28" w:type="dxa"/>
        </w:tblCellMar>
      </w:tblPr>
      <w:tblGrid>
        <w:gridCol w:w="738"/>
        <w:gridCol w:w="648"/>
        <w:gridCol w:w="654"/>
        <w:gridCol w:w="254"/>
        <w:gridCol w:w="618"/>
        <w:gridCol w:w="132"/>
        <w:gridCol w:w="115"/>
        <w:gridCol w:w="115"/>
        <w:gridCol w:w="115"/>
        <w:gridCol w:w="254"/>
        <w:gridCol w:w="618"/>
        <w:gridCol w:w="132"/>
        <w:gridCol w:w="109"/>
        <w:gridCol w:w="109"/>
        <w:gridCol w:w="109"/>
        <w:gridCol w:w="241"/>
        <w:gridCol w:w="550"/>
        <w:gridCol w:w="124"/>
        <w:gridCol w:w="109"/>
        <w:gridCol w:w="109"/>
        <w:gridCol w:w="109"/>
        <w:gridCol w:w="240"/>
        <w:gridCol w:w="240"/>
        <w:gridCol w:w="61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factors discussed above, income from operations for the three months ended July 3, 2026 decreased $1.0 million, or 5.4%, compared to loss from operations for the three months ended July 4,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Interest and other expense, net</w:t>
      </w:r>
    </w:p>
    <w:tbl>
      <w:tblPr>
        <w:tblW w:w="8465" w:type="dxa"/>
        <w:jc w:val="left"/>
        <w:tblInd w:w="0" w:type="dxa"/>
        <w:tblLayout w:type="fixed"/>
        <w:tblCellMar>
          <w:top w:w="28" w:type="dxa"/>
          <w:left w:w="28" w:type="dxa"/>
          <w:bottom w:w="28" w:type="dxa"/>
          <w:right w:w="28" w:type="dxa"/>
        </w:tblCellMar>
      </w:tblPr>
      <w:tblGrid>
        <w:gridCol w:w="1212"/>
        <w:gridCol w:w="1064"/>
        <w:gridCol w:w="1068"/>
        <w:gridCol w:w="254"/>
        <w:gridCol w:w="618"/>
        <w:gridCol w:w="132"/>
        <w:gridCol w:w="115"/>
        <w:gridCol w:w="115"/>
        <w:gridCol w:w="115"/>
        <w:gridCol w:w="254"/>
        <w:gridCol w:w="618"/>
        <w:gridCol w:w="132"/>
        <w:gridCol w:w="109"/>
        <w:gridCol w:w="109"/>
        <w:gridCol w:w="109"/>
        <w:gridCol w:w="241"/>
        <w:gridCol w:w="550"/>
        <w:gridCol w:w="124"/>
        <w:gridCol w:w="109"/>
        <w:gridCol w:w="109"/>
        <w:gridCol w:w="109"/>
        <w:gridCol w:w="293"/>
        <w:gridCol w:w="293"/>
        <w:gridCol w:w="613"/>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for the three months ended July 3, 2026 decreased by $1.8 million to $11.2 million, compared to $13.0 million for the three months ended July 4, 2025 driven by lower interest rates.</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tbl>
      <w:tblPr>
        <w:tblW w:w="7439" w:type="dxa"/>
        <w:jc w:val="left"/>
        <w:tblInd w:w="0" w:type="dxa"/>
        <w:tblLayout w:type="fixed"/>
        <w:tblCellMar>
          <w:top w:w="28" w:type="dxa"/>
          <w:left w:w="28" w:type="dxa"/>
          <w:bottom w:w="28" w:type="dxa"/>
          <w:right w:w="28" w:type="dxa"/>
        </w:tblCellMar>
      </w:tblPr>
      <w:tblGrid>
        <w:gridCol w:w="826"/>
        <w:gridCol w:w="725"/>
        <w:gridCol w:w="728"/>
        <w:gridCol w:w="292"/>
        <w:gridCol w:w="562"/>
        <w:gridCol w:w="150"/>
        <w:gridCol w:w="128"/>
        <w:gridCol w:w="128"/>
        <w:gridCol w:w="128"/>
        <w:gridCol w:w="292"/>
        <w:gridCol w:w="562"/>
        <w:gridCol w:w="150"/>
        <w:gridCol w:w="109"/>
        <w:gridCol w:w="109"/>
        <w:gridCol w:w="109"/>
        <w:gridCol w:w="241"/>
        <w:gridCol w:w="550"/>
        <w:gridCol w:w="124"/>
        <w:gridCol w:w="109"/>
        <w:gridCol w:w="109"/>
        <w:gridCol w:w="109"/>
        <w:gridCol w:w="293"/>
        <w:gridCol w:w="293"/>
        <w:gridCol w:w="613"/>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rates were 36.0% and 50.9% for the three months ended July 3, 2026 and July 4, 2025,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July 3, 2026, the difference between the Company’s effective tax rate of 36.0% and the 21% federal statutory rate was primarily due to unfavorable impact of discrete items in proportion to lower levels of pre-tax income.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4, 2025, the difference between our effective tax rate of 50.9% and the 21% federal statutory rate was due to the unfavorable impact of discrete items in proportion to lower levels of pre-tax income.</w:t>
      </w:r>
    </w:p>
    <w:p>
      <w:pPr>
        <w:pStyle w:val="TextBody"/>
        <w:bidi w:val="0"/>
        <w:spacing w:lineRule="auto" w:line="288" w:before="36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Net income</w:t>
      </w:r>
    </w:p>
    <w:tbl>
      <w:tblPr>
        <w:tblW w:w="6134" w:type="dxa"/>
        <w:jc w:val="left"/>
        <w:tblInd w:w="0" w:type="dxa"/>
        <w:tblLayout w:type="fixed"/>
        <w:tblCellMar>
          <w:top w:w="28" w:type="dxa"/>
          <w:left w:w="28" w:type="dxa"/>
          <w:bottom w:w="28" w:type="dxa"/>
          <w:right w:w="28" w:type="dxa"/>
        </w:tblCellMar>
      </w:tblPr>
      <w:tblGrid>
        <w:gridCol w:w="380"/>
        <w:gridCol w:w="334"/>
        <w:gridCol w:w="335"/>
        <w:gridCol w:w="292"/>
        <w:gridCol w:w="562"/>
        <w:gridCol w:w="150"/>
        <w:gridCol w:w="128"/>
        <w:gridCol w:w="128"/>
        <w:gridCol w:w="128"/>
        <w:gridCol w:w="292"/>
        <w:gridCol w:w="562"/>
        <w:gridCol w:w="150"/>
        <w:gridCol w:w="109"/>
        <w:gridCol w:w="109"/>
        <w:gridCol w:w="109"/>
        <w:gridCol w:w="266"/>
        <w:gridCol w:w="512"/>
        <w:gridCol w:w="137"/>
        <w:gridCol w:w="109"/>
        <w:gridCol w:w="109"/>
        <w:gridCol w:w="109"/>
        <w:gridCol w:w="255"/>
        <w:gridCol w:w="256"/>
        <w:gridCol w:w="613"/>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result of the factors described above, our net income increased $1.3 million, or 48.1%, to $4.0 million for the three months ended July 3, 2026 from $2.7 million for the three months ended July 4, 2025.</w:t>
      </w:r>
    </w:p>
    <w:p>
      <w:pPr>
        <w:pStyle w:val="TextBody"/>
        <w:bidi w:val="0"/>
        <w:spacing w:before="360" w:after="10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6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Segment Review</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We manage our activities based on three operating segments: PVG, AAG, and SSG.</w:t>
      </w:r>
    </w:p>
    <w:p>
      <w:pPr>
        <w:pStyle w:val="TextBody"/>
        <w:bidi w:val="0"/>
        <w:spacing w:lineRule="auto" w:line="268" w:before="240" w:after="100"/>
        <w:jc w:val="left"/>
        <w:rPr/>
      </w:pPr>
      <w:r>
        <w:rPr>
          <w:rFonts w:ascii="Times New Roman;serif" w:hAnsi="Times New Roman;serif"/>
          <w:b w:val="false"/>
          <w:color w:val="000000"/>
          <w:sz w:val="20"/>
        </w:rPr>
        <w:t xml:space="preserve">For additional financial information related to our operating segments including the reconciliation of consolidated net (loss) income to adjusted EBITDA, see </w:t>
      </w:r>
      <w:hyperlink w:anchor="i1670ec0dd1b14c89a7cbf2c857b7aa3c_76">
        <w:r>
          <w:rPr>
            <w:rStyle w:val="InternetLink"/>
            <w:rFonts w:ascii="Times New Roman;serif" w:hAnsi="Times New Roman;serif"/>
            <w:b w:val="false"/>
            <w:color w:val="0000FF"/>
            <w:sz w:val="20"/>
            <w:u w:val="single"/>
          </w:rPr>
          <w:t>Note 14 – Segment Information</w:t>
        </w:r>
      </w:hyperlink>
      <w:r>
        <w:rPr>
          <w:rFonts w:ascii="Times New Roman;serif" w:hAnsi="Times New Roman;serif"/>
          <w:b w:val="false"/>
          <w:color w:val="000000"/>
          <w:sz w:val="20"/>
        </w:rPr>
        <w:t>.</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consolidated net sales and adjusted EBITDA by segment:</w:t>
      </w:r>
    </w:p>
    <w:tbl>
      <w:tblPr>
        <w:tblW w:w="7729" w:type="dxa"/>
        <w:jc w:val="left"/>
        <w:tblInd w:w="0" w:type="dxa"/>
        <w:tblLayout w:type="fixed"/>
        <w:tblCellMar>
          <w:top w:w="28" w:type="dxa"/>
          <w:left w:w="28" w:type="dxa"/>
          <w:bottom w:w="28" w:type="dxa"/>
          <w:right w:w="28" w:type="dxa"/>
        </w:tblCellMar>
      </w:tblPr>
      <w:tblGrid>
        <w:gridCol w:w="989"/>
        <w:gridCol w:w="869"/>
        <w:gridCol w:w="872"/>
        <w:gridCol w:w="226"/>
        <w:gridCol w:w="662"/>
        <w:gridCol w:w="117"/>
        <w:gridCol w:w="109"/>
        <w:gridCol w:w="109"/>
        <w:gridCol w:w="109"/>
        <w:gridCol w:w="226"/>
        <w:gridCol w:w="662"/>
        <w:gridCol w:w="117"/>
        <w:gridCol w:w="109"/>
        <w:gridCol w:w="109"/>
        <w:gridCol w:w="109"/>
        <w:gridCol w:w="213"/>
        <w:gridCol w:w="592"/>
        <w:gridCol w:w="110"/>
        <w:gridCol w:w="109"/>
        <w:gridCol w:w="109"/>
        <w:gridCol w:w="109"/>
        <w:gridCol w:w="240"/>
        <w:gridCol w:w="240"/>
        <w:gridCol w:w="613"/>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80"/>
        <w:jc w:val="both"/>
        <w:rPr>
          <w:rFonts w:ascii="Times New Roman;serif" w:hAnsi="Times New Roman;serif"/>
          <w:b/>
          <w:i/>
          <w:color w:val="000000"/>
          <w:sz w:val="20"/>
        </w:rPr>
      </w:pPr>
      <w:r>
        <w:rPr>
          <w:rFonts w:ascii="Times New Roman;serif" w:hAnsi="Times New Roman;serif"/>
          <w:b/>
          <w:i/>
          <w:color w:val="000000"/>
          <w:sz w:val="20"/>
        </w:rPr>
        <w:t>Powered Vehicles Group</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Powered Vehicles Group net sales increased by $0.7 million, or 0.6%, mainly due to strengthening demand in powersports.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Powered Vehicles Group adjusted EBITDA decreased by $0.6 million, or 3.7%, primarily due to lower gross profit driven by shifts in product line mix.</w:t>
      </w:r>
    </w:p>
    <w:p>
      <w:pPr>
        <w:pStyle w:val="TextBody"/>
        <w:bidi w:val="0"/>
        <w:spacing w:lineRule="auto" w:line="288" w:before="240" w:after="100"/>
        <w:jc w:val="both"/>
        <w:rPr>
          <w:rFonts w:ascii="Times New Roman;serif" w:hAnsi="Times New Roman;serif"/>
          <w:b/>
          <w:i/>
          <w:color w:val="000000"/>
          <w:sz w:val="20"/>
        </w:rPr>
      </w:pPr>
      <w:r>
        <w:rPr>
          <w:rFonts w:ascii="Times New Roman;serif" w:hAnsi="Times New Roman;serif"/>
          <w:b/>
          <w:i/>
          <w:color w:val="000000"/>
          <w:sz w:val="20"/>
        </w:rPr>
        <w:t>Aftermarket Applications Group</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Aftermarket Applications Group net sales decreased by $4.6 million, or 4.0%. Excluding the impact of the divested businesses, AAG net sales increased compared to the prior year period, with growth limited by supply constraints affecting our upfit businesses.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Aftermarket Applications Group adjusted EBITDA increased by $0.2 million, or 1.3%, mainly due to decreases in operating expenses, partially offset by lower gross profit.</w:t>
      </w:r>
    </w:p>
    <w:p>
      <w:pPr>
        <w:pStyle w:val="TextBody"/>
        <w:bidi w:val="0"/>
        <w:spacing w:lineRule="auto" w:line="268" w:before="240" w:after="100"/>
        <w:jc w:val="both"/>
        <w:rPr>
          <w:rFonts w:ascii="Times New Roman;serif" w:hAnsi="Times New Roman;serif"/>
          <w:b/>
          <w:i/>
          <w:color w:val="000000"/>
          <w:sz w:val="20"/>
        </w:rPr>
      </w:pPr>
      <w:r>
        <w:rPr>
          <w:rFonts w:ascii="Times New Roman;serif" w:hAnsi="Times New Roman;serif"/>
          <w:b/>
          <w:i/>
          <w:color w:val="000000"/>
          <w:sz w:val="20"/>
        </w:rPr>
        <w:t>Specialty Sports Group</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Specialty Sports Group net sales decreased by $12.9 million, or 9.4%, primarily due to OEMs, distributors and dealers reducing inventory levels in response to market-wide economic conditions.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Specialty Sports Group adjusted EBITDA decreased by $2.7 million, or 8.9%, primarily due to lower gross profit, partially offset by decreases in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Six months ended July 3, 2026 compared to six months ended July 4, 2025 </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Consolidated net sales</w:t>
      </w:r>
    </w:p>
    <w:tbl>
      <w:tblPr>
        <w:tblW w:w="5973" w:type="dxa"/>
        <w:jc w:val="left"/>
        <w:tblInd w:w="0" w:type="dxa"/>
        <w:tblLayout w:type="fixed"/>
        <w:tblCellMar>
          <w:top w:w="28" w:type="dxa"/>
          <w:left w:w="28" w:type="dxa"/>
          <w:bottom w:w="28" w:type="dxa"/>
          <w:right w:w="28" w:type="dxa"/>
        </w:tblCellMar>
      </w:tblPr>
      <w:tblGrid>
        <w:gridCol w:w="353"/>
        <w:gridCol w:w="310"/>
        <w:gridCol w:w="311"/>
        <w:gridCol w:w="226"/>
        <w:gridCol w:w="662"/>
        <w:gridCol w:w="117"/>
        <w:gridCol w:w="109"/>
        <w:gridCol w:w="109"/>
        <w:gridCol w:w="109"/>
        <w:gridCol w:w="226"/>
        <w:gridCol w:w="662"/>
        <w:gridCol w:w="117"/>
        <w:gridCol w:w="109"/>
        <w:gridCol w:w="109"/>
        <w:gridCol w:w="109"/>
        <w:gridCol w:w="241"/>
        <w:gridCol w:w="550"/>
        <w:gridCol w:w="124"/>
        <w:gridCol w:w="109"/>
        <w:gridCol w:w="109"/>
        <w:gridCol w:w="109"/>
        <w:gridCol w:w="240"/>
        <w:gridCol w:w="240"/>
        <w:gridCol w:w="613"/>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Total net sales for the six months ended July 3, 2026 decreased $3.1 million, or 0.4%, compared to the six months ended July 4, 2025. The decrease in net sales is primarily due to OEMs, distributors and dealers reducing inventory levels in response to market-wide economic conditions and lost revenues from divested businesses, offset by strengthening demand across powersports and AAG products.</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6081" w:type="dxa"/>
        <w:jc w:val="left"/>
        <w:tblInd w:w="0" w:type="dxa"/>
        <w:tblLayout w:type="fixed"/>
        <w:tblCellMar>
          <w:top w:w="28" w:type="dxa"/>
          <w:left w:w="28" w:type="dxa"/>
          <w:bottom w:w="28" w:type="dxa"/>
          <w:right w:w="28" w:type="dxa"/>
        </w:tblCellMar>
      </w:tblPr>
      <w:tblGrid>
        <w:gridCol w:w="413"/>
        <w:gridCol w:w="363"/>
        <w:gridCol w:w="364"/>
        <w:gridCol w:w="226"/>
        <w:gridCol w:w="662"/>
        <w:gridCol w:w="117"/>
        <w:gridCol w:w="109"/>
        <w:gridCol w:w="109"/>
        <w:gridCol w:w="109"/>
        <w:gridCol w:w="226"/>
        <w:gridCol w:w="662"/>
        <w:gridCol w:w="117"/>
        <w:gridCol w:w="109"/>
        <w:gridCol w:w="109"/>
        <w:gridCol w:w="109"/>
        <w:gridCol w:w="266"/>
        <w:gridCol w:w="512"/>
        <w:gridCol w:w="137"/>
        <w:gridCol w:w="109"/>
        <w:gridCol w:w="109"/>
        <w:gridCol w:w="109"/>
        <w:gridCol w:w="211"/>
        <w:gridCol w:w="211"/>
        <w:gridCol w:w="613"/>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Cost of sales for the six months ended July 3, 2026 increased $7.5 million, or 1.5%, compared to the six months ended July 4, 2025. The increase in cost of sales is primarily due to impacts of tariffs. Our gross margin decreased by 140 basis points to 29.7% for the six months ended July 3, 2026, as compared to the same prior fiscal year period, primarily due to shifts in our product line mix and the impact of tariffs.</w:t>
      </w:r>
    </w:p>
    <w:p>
      <w:pPr>
        <w:pStyle w:val="TextBody"/>
        <w:bidi w:val="0"/>
        <w:spacing w:lineRule="auto" w:line="288" w:before="36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8441" w:type="dxa"/>
        <w:jc w:val="left"/>
        <w:tblInd w:w="0" w:type="dxa"/>
        <w:tblLayout w:type="fixed"/>
        <w:tblCellMar>
          <w:top w:w="28" w:type="dxa"/>
          <w:left w:w="28" w:type="dxa"/>
          <w:bottom w:w="28" w:type="dxa"/>
          <w:right w:w="28" w:type="dxa"/>
        </w:tblCellMar>
      </w:tblPr>
      <w:tblGrid>
        <w:gridCol w:w="1174"/>
        <w:gridCol w:w="1031"/>
        <w:gridCol w:w="1035"/>
        <w:gridCol w:w="226"/>
        <w:gridCol w:w="662"/>
        <w:gridCol w:w="117"/>
        <w:gridCol w:w="109"/>
        <w:gridCol w:w="109"/>
        <w:gridCol w:w="109"/>
        <w:gridCol w:w="226"/>
        <w:gridCol w:w="662"/>
        <w:gridCol w:w="117"/>
        <w:gridCol w:w="109"/>
        <w:gridCol w:w="109"/>
        <w:gridCol w:w="109"/>
        <w:gridCol w:w="211"/>
        <w:gridCol w:w="691"/>
        <w:gridCol w:w="109"/>
        <w:gridCol w:w="109"/>
        <w:gridCol w:w="109"/>
        <w:gridCol w:w="109"/>
        <w:gridCol w:w="293"/>
        <w:gridCol w:w="293"/>
        <w:gridCol w:w="613"/>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*Numbers may not foot due to rounding.</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Total operating expenses for the six months ended July 3, 2026 were $192.6 million, compared to $458.7 million for the six months ended July 4, 2025. During the six months ended July 4, 2025, we recognized an impairment charge of $262.1 million as a result of our quantitative assessment on goodwill triggered by adverse changes in U.S. tariff policies, new and expanded tariffs enacted by the current presidential administration, and resulting sustained decline in our stock price. General and administrative and sales and marketing expenses decreased $3.6 million and $1.3 million, respectively, primarily on our strategic optimization initiatives. Research and development increased $2.2 million, due to our investments to support future growth and product innovation.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Income (loss) from operations</w:t>
      </w:r>
    </w:p>
    <w:tbl>
      <w:tblPr>
        <w:tblW w:w="7680" w:type="dxa"/>
        <w:jc w:val="left"/>
        <w:tblInd w:w="0" w:type="dxa"/>
        <w:tblLayout w:type="fixed"/>
        <w:tblCellMar>
          <w:top w:w="28" w:type="dxa"/>
          <w:left w:w="28" w:type="dxa"/>
          <w:bottom w:w="28" w:type="dxa"/>
          <w:right w:w="28" w:type="dxa"/>
        </w:tblCellMar>
      </w:tblPr>
      <w:tblGrid>
        <w:gridCol w:w="911"/>
        <w:gridCol w:w="800"/>
        <w:gridCol w:w="808"/>
        <w:gridCol w:w="255"/>
        <w:gridCol w:w="618"/>
        <w:gridCol w:w="131"/>
        <w:gridCol w:w="109"/>
        <w:gridCol w:w="109"/>
        <w:gridCol w:w="109"/>
        <w:gridCol w:w="211"/>
        <w:gridCol w:w="691"/>
        <w:gridCol w:w="109"/>
        <w:gridCol w:w="109"/>
        <w:gridCol w:w="109"/>
        <w:gridCol w:w="109"/>
        <w:gridCol w:w="211"/>
        <w:gridCol w:w="616"/>
        <w:gridCol w:w="109"/>
        <w:gridCol w:w="109"/>
        <w:gridCol w:w="109"/>
        <w:gridCol w:w="109"/>
        <w:gridCol w:w="308"/>
        <w:gridCol w:w="308"/>
        <w:gridCol w:w="613"/>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factors discussed above, income from operations for the six months ended July 3, 2026 increased $255.6 million, or 110.1%, compared to loss from operations for the six months ended July 4, 2025. </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Interest and other expense, net</w:t>
      </w:r>
    </w:p>
    <w:tbl>
      <w:tblPr>
        <w:tblW w:w="7713" w:type="dxa"/>
        <w:jc w:val="left"/>
        <w:tblInd w:w="0" w:type="dxa"/>
        <w:tblLayout w:type="fixed"/>
        <w:tblCellMar>
          <w:top w:w="28" w:type="dxa"/>
          <w:left w:w="28" w:type="dxa"/>
          <w:bottom w:w="28" w:type="dxa"/>
          <w:right w:w="28" w:type="dxa"/>
        </w:tblCellMar>
      </w:tblPr>
      <w:tblGrid>
        <w:gridCol w:w="935"/>
        <w:gridCol w:w="821"/>
        <w:gridCol w:w="824"/>
        <w:gridCol w:w="255"/>
        <w:gridCol w:w="618"/>
        <w:gridCol w:w="131"/>
        <w:gridCol w:w="109"/>
        <w:gridCol w:w="109"/>
        <w:gridCol w:w="109"/>
        <w:gridCol w:w="255"/>
        <w:gridCol w:w="618"/>
        <w:gridCol w:w="131"/>
        <w:gridCol w:w="109"/>
        <w:gridCol w:w="109"/>
        <w:gridCol w:w="109"/>
        <w:gridCol w:w="241"/>
        <w:gridCol w:w="550"/>
        <w:gridCol w:w="124"/>
        <w:gridCol w:w="109"/>
        <w:gridCol w:w="109"/>
        <w:gridCol w:w="109"/>
        <w:gridCol w:w="308"/>
        <w:gridCol w:w="308"/>
        <w:gridCol w:w="613"/>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for the six months ended July 3, 2026 increased by $7.0 million to $32.8 million, compared to $25.8 million for the six months ended July 4, 2025, mainly due to a loss on divestiture of $10.6 million, partially offset by lower interest rates.</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tbl>
      <w:tblPr>
        <w:tblW w:w="8233" w:type="dxa"/>
        <w:jc w:val="left"/>
        <w:tblInd w:w="0" w:type="dxa"/>
        <w:tblLayout w:type="fixed"/>
        <w:tblCellMar>
          <w:top w:w="28" w:type="dxa"/>
          <w:left w:w="28" w:type="dxa"/>
          <w:bottom w:w="28" w:type="dxa"/>
          <w:right w:w="28" w:type="dxa"/>
        </w:tblCellMar>
      </w:tblPr>
      <w:tblGrid>
        <w:gridCol w:w="1093"/>
        <w:gridCol w:w="959"/>
        <w:gridCol w:w="963"/>
        <w:gridCol w:w="292"/>
        <w:gridCol w:w="563"/>
        <w:gridCol w:w="150"/>
        <w:gridCol w:w="112"/>
        <w:gridCol w:w="112"/>
        <w:gridCol w:w="112"/>
        <w:gridCol w:w="264"/>
        <w:gridCol w:w="605"/>
        <w:gridCol w:w="136"/>
        <w:gridCol w:w="109"/>
        <w:gridCol w:w="109"/>
        <w:gridCol w:w="109"/>
        <w:gridCol w:w="266"/>
        <w:gridCol w:w="512"/>
        <w:gridCol w:w="137"/>
        <w:gridCol w:w="109"/>
        <w:gridCol w:w="109"/>
        <w:gridCol w:w="109"/>
        <w:gridCol w:w="344"/>
        <w:gridCol w:w="346"/>
        <w:gridCol w:w="613"/>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effective tax rates were (17.8)% and 0.3% for the six months ended July 3, 2026 and July 4, 2025, respectively.</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3, 2026, the difference between the Company’s effective tax rate of (17.8)% and the 21% federal statutory rate was due to the lower pre</w:t>
        <w:noBreakHyphen/>
        <w:t>tax earnings for the quarter and the tax effects of discrete items recognized in connection with the sale of the Arizona entities.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4, 2025, the difference between our effective tax rate of 0.3% and the 21% federal statutory rate was due to the impairment impact of non-deductible goodwill.</w:t>
      </w:r>
    </w:p>
    <w:p>
      <w:pPr>
        <w:pStyle w:val="TextBody"/>
        <w:bidi w:val="0"/>
        <w:spacing w:lineRule="auto" w:line="288" w:before="360" w:after="100"/>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Net loss</w:t>
      </w:r>
    </w:p>
    <w:tbl>
      <w:tblPr>
        <w:tblW w:w="6031" w:type="dxa"/>
        <w:jc w:val="left"/>
        <w:tblInd w:w="0" w:type="dxa"/>
        <w:tblLayout w:type="fixed"/>
        <w:tblCellMar>
          <w:top w:w="28" w:type="dxa"/>
          <w:left w:w="28" w:type="dxa"/>
          <w:bottom w:w="28" w:type="dxa"/>
          <w:right w:w="28" w:type="dxa"/>
        </w:tblCellMar>
      </w:tblPr>
      <w:tblGrid>
        <w:gridCol w:w="353"/>
        <w:gridCol w:w="310"/>
        <w:gridCol w:w="311"/>
        <w:gridCol w:w="234"/>
        <w:gridCol w:w="650"/>
        <w:gridCol w:w="121"/>
        <w:gridCol w:w="109"/>
        <w:gridCol w:w="109"/>
        <w:gridCol w:w="109"/>
        <w:gridCol w:w="211"/>
        <w:gridCol w:w="691"/>
        <w:gridCol w:w="109"/>
        <w:gridCol w:w="109"/>
        <w:gridCol w:w="109"/>
        <w:gridCol w:w="109"/>
        <w:gridCol w:w="211"/>
        <w:gridCol w:w="616"/>
        <w:gridCol w:w="109"/>
        <w:gridCol w:w="109"/>
        <w:gridCol w:w="109"/>
        <w:gridCol w:w="109"/>
        <w:gridCol w:w="255"/>
        <w:gridCol w:w="256"/>
        <w:gridCol w:w="613"/>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1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a result of the factors described above, our net loss decreased $246.0 million to a net loss of $11.0 million for the six months ended July 3, 2026 from a net loss of $257.0 million for the six months ended July 4, 2025.</w:t>
      </w:r>
    </w:p>
    <w:p>
      <w:pPr>
        <w:pStyle w:val="TextBody"/>
        <w:bidi w:val="0"/>
        <w:spacing w:before="36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Segment Review</w:t>
      </w:r>
    </w:p>
    <w:p>
      <w:pPr>
        <w:pStyle w:val="TextBody"/>
        <w:bidi w:val="0"/>
        <w:spacing w:lineRule="auto" w:line="268" w:before="240" w:after="100"/>
        <w:jc w:val="left"/>
        <w:rPr/>
      </w:pPr>
      <w:r>
        <w:rPr>
          <w:rFonts w:ascii="Times New Roman;serif" w:hAnsi="Times New Roman;serif"/>
          <w:b w:val="false"/>
          <w:color w:val="000000"/>
          <w:sz w:val="20"/>
        </w:rPr>
        <w:t xml:space="preserve">For additional financial information related to our operating segments including the reconciliation of consolidated net (loss) income to adjusted EBITDA, see </w:t>
      </w:r>
      <w:hyperlink w:anchor="i1670ec0dd1b14c89a7cbf2c857b7aa3c_76">
        <w:r>
          <w:rPr>
            <w:rStyle w:val="InternetLink"/>
            <w:rFonts w:ascii="Times New Roman;serif" w:hAnsi="Times New Roman;serif"/>
            <w:b w:val="false"/>
            <w:color w:val="0000FF"/>
            <w:sz w:val="20"/>
            <w:u w:val="single"/>
          </w:rPr>
          <w:t>Note 14. Segment Information</w:t>
        </w:r>
      </w:hyperlink>
      <w:r>
        <w:rPr>
          <w:rFonts w:ascii="Times New Roman;serif" w:hAnsi="Times New Roman;serif"/>
          <w:b w:val="false"/>
          <w:color w:val="000000"/>
          <w:sz w:val="20"/>
        </w:rPr>
        <w:t>.</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consolidated net sales and adjusted EBITDA by segment:</w:t>
      </w:r>
    </w:p>
    <w:tbl>
      <w:tblPr>
        <w:tblW w:w="7835" w:type="dxa"/>
        <w:jc w:val="left"/>
        <w:tblInd w:w="0" w:type="dxa"/>
        <w:tblLayout w:type="fixed"/>
        <w:tblCellMar>
          <w:top w:w="28" w:type="dxa"/>
          <w:left w:w="28" w:type="dxa"/>
          <w:bottom w:w="28" w:type="dxa"/>
          <w:right w:w="28" w:type="dxa"/>
        </w:tblCellMar>
      </w:tblPr>
      <w:tblGrid>
        <w:gridCol w:w="989"/>
        <w:gridCol w:w="869"/>
        <w:gridCol w:w="872"/>
        <w:gridCol w:w="226"/>
        <w:gridCol w:w="662"/>
        <w:gridCol w:w="117"/>
        <w:gridCol w:w="109"/>
        <w:gridCol w:w="109"/>
        <w:gridCol w:w="109"/>
        <w:gridCol w:w="226"/>
        <w:gridCol w:w="662"/>
        <w:gridCol w:w="117"/>
        <w:gridCol w:w="109"/>
        <w:gridCol w:w="109"/>
        <w:gridCol w:w="109"/>
        <w:gridCol w:w="232"/>
        <w:gridCol w:w="563"/>
        <w:gridCol w:w="120"/>
        <w:gridCol w:w="109"/>
        <w:gridCol w:w="109"/>
        <w:gridCol w:w="109"/>
        <w:gridCol w:w="293"/>
        <w:gridCol w:w="293"/>
        <w:gridCol w:w="613"/>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Powered Vehicles Group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 Applications Group</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Sports Group</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0"/>
        <w:jc w:val="left"/>
        <w:rPr>
          <w:rFonts w:ascii="Times New Roman;serif" w:hAnsi="Times New Roman;serif"/>
          <w:b w:val="false"/>
          <w:i/>
          <w:color w:val="000000"/>
          <w:sz w:val="20"/>
        </w:rPr>
      </w:pPr>
      <w:r>
        <w:rPr>
          <w:rFonts w:ascii="Times New Roman;serif" w:hAnsi="Times New Roman;serif"/>
          <w:b w:val="false"/>
          <w:i/>
          <w:color w:val="000000"/>
          <w:sz w:val="20"/>
        </w:rPr>
        <w:t>*Numbers may not foot due to rounding.</w:t>
      </w:r>
    </w:p>
    <w:p>
      <w:pPr>
        <w:pStyle w:val="TextBody"/>
        <w:bidi w:val="0"/>
        <w:spacing w:lineRule="auto" w:line="268" w:before="240" w:after="280"/>
        <w:jc w:val="both"/>
        <w:rPr>
          <w:rFonts w:ascii="Times New Roman;serif" w:hAnsi="Times New Roman;serif"/>
          <w:b/>
          <w:i/>
          <w:color w:val="000000"/>
          <w:sz w:val="20"/>
        </w:rPr>
      </w:pPr>
      <w:r>
        <w:rPr>
          <w:rFonts w:ascii="Times New Roman;serif" w:hAnsi="Times New Roman;serif"/>
          <w:b/>
          <w:i/>
          <w:color w:val="000000"/>
          <w:sz w:val="20"/>
        </w:rPr>
        <w:t>Powered Vehicles Group</w:t>
      </w:r>
    </w:p>
    <w:p>
      <w:pPr>
        <w:pStyle w:val="TextBody"/>
        <w:bidi w:val="0"/>
        <w:spacing w:lineRule="auto" w:line="268" w:before="240" w:after="100"/>
        <w:jc w:val="both"/>
        <w:rPr>
          <w:rFonts w:ascii="Times New Roman;serif" w:hAnsi="Times New Roman;serif"/>
          <w:b w:val="false"/>
          <w:color w:val="000000"/>
          <w:sz w:val="20"/>
        </w:rPr>
      </w:pPr>
      <w:r>
        <w:rPr>
          <w:rFonts w:ascii="Times New Roman;serif" w:hAnsi="Times New Roman;serif"/>
          <w:b w:val="false"/>
          <w:color w:val="000000"/>
          <w:sz w:val="20"/>
        </w:rPr>
        <w:t>Powered Vehicles Group net sales increased by $22.0 million, or 9.0%, primarily due to strengthening demand in powersports.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Powered Vehicles Group adjusted EBITDA increased by $7.6 million, or 24.7%, mainly due to an increase in gross profit driven by higher net sales.</w:t>
      </w:r>
    </w:p>
    <w:p>
      <w:pPr>
        <w:pStyle w:val="TextBody"/>
        <w:bidi w:val="0"/>
        <w:spacing w:lineRule="auto" w:line="268" w:before="240" w:after="100"/>
        <w:jc w:val="both"/>
        <w:rPr>
          <w:rFonts w:ascii="Times New Roman;serif" w:hAnsi="Times New Roman;serif"/>
          <w:b/>
          <w:i/>
          <w:color w:val="000000"/>
          <w:sz w:val="20"/>
        </w:rPr>
      </w:pPr>
      <w:r>
        <w:rPr>
          <w:rFonts w:ascii="Times New Roman;serif" w:hAnsi="Times New Roman;serif"/>
          <w:b/>
          <w:i/>
          <w:color w:val="000000"/>
          <w:sz w:val="20"/>
        </w:rPr>
        <w:t>Aftermarket Applications Group</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Aftermarket Applications Group net sales decreased by $1.8 million, or 0.8%. Excluding the impact of the divested businesses, AAG net sales increased compared to the prior year period, with growth limited by supply constraints affecting our upfit businesses.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Aftermarket Applications Group adjusted EBITDA decreased by $5.4 million, or 16.4%, driven by lower gross profit due to shifts in product mix.</w:t>
      </w:r>
    </w:p>
    <w:p>
      <w:pPr>
        <w:pStyle w:val="TextBody"/>
        <w:bidi w:val="0"/>
        <w:spacing w:lineRule="auto" w:line="268" w:before="240" w:after="100"/>
        <w:jc w:val="both"/>
        <w:rPr>
          <w:rFonts w:ascii="Times New Roman;serif" w:hAnsi="Times New Roman;serif"/>
          <w:b/>
          <w:i/>
          <w:color w:val="000000"/>
          <w:sz w:val="20"/>
        </w:rPr>
      </w:pPr>
      <w:r>
        <w:rPr>
          <w:rFonts w:ascii="Times New Roman;serif" w:hAnsi="Times New Roman;serif"/>
          <w:b/>
          <w:i/>
          <w:color w:val="000000"/>
          <w:sz w:val="20"/>
        </w:rPr>
        <w:t>Specialty Sports Group</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Specialty Sports Group net sales decreased by $23.4 million, or 9.1%, mainly attributable to OEMs, distributors and dealers reducing inventory levels in response to market-wide economic conditions.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Specialty Sports Group adjusted EBITDA decreased by $8.7 million, or 16.2%, primarily due to a decrease in 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100"/>
        <w:jc w:val="both"/>
        <w:rPr/>
      </w:pPr>
      <w:r>
        <w:rPr>
          <w:rFonts w:ascii="Times New Roman;serif" w:hAnsi="Times New Roman;serif"/>
          <w:b w:val="false"/>
          <w:color w:val="000000"/>
          <w:sz w:val="20"/>
        </w:rPr>
        <w:t xml:space="preserve">Our primary cash needs are to support working capital, research and development, interest on debt, employee compensation, capital expenditures, acquisitions, debt repayments, and other general corporate purposes. Historically, we generally financed our liquidity needs with operating cash flows, borrowings under our Credit Agreement, and the issuance of common stock. These sources of liquidity may be impacted by events described in </w:t>
      </w:r>
      <w:hyperlink w:anchor="i1670ec0dd1b14c89a7cbf2c857b7aa3c_88">
        <w:r>
          <w:rPr>
            <w:rStyle w:val="InternetLink"/>
            <w:rFonts w:ascii="Times New Roman;serif" w:hAnsi="Times New Roman;serif"/>
            <w:b w:val="false"/>
            <w:color w:val="0000FF"/>
            <w:sz w:val="20"/>
            <w:u w:val="single"/>
          </w:rPr>
          <w:t>Cautionary Note Regarding Forward-Looking Statements</w:t>
        </w:r>
      </w:hyperlink>
      <w:r>
        <w:rPr>
          <w:color w:val="000000"/>
        </w:rPr>
        <w:t xml:space="preserve"> </w:t>
      </w:r>
      <w:r>
        <w:rPr>
          <w:rFonts w:ascii="Times New Roman;serif" w:hAnsi="Times New Roman;serif"/>
          <w:b w:val="false"/>
          <w:color w:val="000000"/>
          <w:sz w:val="20"/>
        </w:rPr>
        <w:t xml:space="preserve">and </w:t>
      </w:r>
      <w:hyperlink w:anchor="i1670ec0dd1b14c89a7cbf2c857b7aa3c_130">
        <w:r>
          <w:rPr>
            <w:rStyle w:val="InternetLink"/>
            <w:rFonts w:ascii="Times New Roman;serif" w:hAnsi="Times New Roman;serif"/>
            <w:b w:val="false"/>
            <w:color w:val="0000FF"/>
            <w:sz w:val="20"/>
            <w:u w:val="single"/>
          </w:rPr>
          <w:t>Part II, Item 1A. Risk Factors</w:t>
        </w:r>
      </w:hyperlink>
      <w:r>
        <w:rPr>
          <w:rFonts w:ascii="Times New Roman;serif" w:hAnsi="Times New Roman;serif"/>
          <w:b w:val="false"/>
          <w:color w:val="000000"/>
          <w:sz w:val="20"/>
        </w:rPr>
        <w: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As of July 3, 2026, we held $9.9 million of our $61.3 million of cash and cash equivalents in accounts of our subsidiaries outside of the U.S., which we may repatriate.</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A summary of our operating, investing, and financing activities is shown in the following table:</w:t>
      </w:r>
    </w:p>
    <w:tbl>
      <w:tblPr>
        <w:tblW w:w="7466" w:type="dxa"/>
        <w:jc w:val="left"/>
        <w:tblInd w:w="0" w:type="dxa"/>
        <w:tblLayout w:type="fixed"/>
        <w:tblCellMar>
          <w:top w:w="28" w:type="dxa"/>
          <w:left w:w="28" w:type="dxa"/>
          <w:bottom w:w="28" w:type="dxa"/>
          <w:right w:w="28" w:type="dxa"/>
        </w:tblCellMar>
      </w:tblPr>
      <w:tblGrid>
        <w:gridCol w:w="1843"/>
        <w:gridCol w:w="1619"/>
        <w:gridCol w:w="1623"/>
        <w:gridCol w:w="255"/>
        <w:gridCol w:w="618"/>
        <w:gridCol w:w="131"/>
        <w:gridCol w:w="109"/>
        <w:gridCol w:w="109"/>
        <w:gridCol w:w="109"/>
        <w:gridCol w:w="253"/>
        <w:gridCol w:w="613"/>
        <w:gridCol w:w="184"/>
      </w:tblGrid>
      <w:tr>
        <w:trPr/>
        <w:tc>
          <w:tcPr>
            <w:tcW w:w="184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4, 2025</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pPr>
      <w:r>
        <w:rPr>
          <w:rFonts w:ascii="Times New Roman;serif" w:hAnsi="Times New Roman;serif"/>
          <w:b w:val="false"/>
          <w:i/>
          <w:color w:val="000000"/>
          <w:sz w:val="20"/>
        </w:rPr>
        <w:t>*Amounts</w:t>
      </w:r>
      <w:r>
        <w:rPr>
          <w:color w:val="000000"/>
        </w:rPr>
        <w:t xml:space="preserve"> </w:t>
      </w:r>
      <w:r>
        <w:rPr>
          <w:rFonts w:ascii="Times New Roman;serif" w:hAnsi="Times New Roman;serif"/>
          <w:b w:val="false"/>
          <w:i/>
          <w:color w:val="000000"/>
          <w:sz w:val="20"/>
        </w:rPr>
        <w:t>may not foot due to rounding.</w:t>
      </w:r>
      <w:r>
        <w:rPr>
          <w:color w:val="000000"/>
        </w:rPr>
        <w:t xml:space="preserve"> </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We expect that cash on hand, cash flows from operations and availability under our Credit Agreement will be sufficient to fund our operations during the next 12 months from the date of this Form 10-Q and beyond.</w:t>
      </w:r>
    </w:p>
    <w:p>
      <w:pPr>
        <w:pStyle w:val="TextBody"/>
        <w:bidi w:val="0"/>
        <w:spacing w:lineRule="auto" w:line="288" w:before="240" w:after="10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3, 2026, net cash provided by operating activities was $13.2 million. Our investment in operating assets and liabilities is mainly a result of an increase in inventory of $17.4 million, an increase in accounts receivable of $13.0 million, a decrease in accounts payable of $5.9 million, and a decrease in accrued expenses and other liabilities of $4.3 million, partially offset by a decrease in prepaids and other assets of $3.9 million, net of the impact of the divestiture. Inventory increased primarily due to planned inventory builds to support anticipated demand. The change in our accounts receivable reflects the timing of customer collections. The change in accounts payable reflects the timing of vendor payments. The decrease in accrued expenses and other liabilities is driven by amortization of lease liabilities. Prepaids and other assets decreased primarily due to lower prepaid insurance.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4, 2025, net cash provided by operating activities was $37.5 million. Our investment in operating assets and liabilities is a result of an increase in accounts receivable of $15.4 million, a decrease in accounts payable of $11.1 million, a decrease in accrued expenses and other liabilities of $8.6 million, a decrease in income taxes payable of $4.0 million, and an increase in inventory of $2.1 million, partially offset by a decrease in prepaids and other assets of $19.8 million. The change in our accounts receivable reflects an increase in our sales and the timing of customer collections. The change in our accounts payable is driven by timing of inventory purchases and vendor payments. The decrease in accrued expenses and other liabilities is mainly due to a decrease in warranty reserve, a decrease in lease liabilities due to lease terminations, and payments for various accruals. The decrease in income taxes payable is mainly due to our income tax payments. Inventory increased primarily due to planned inventory builds to support anticipated demand, the impact from higher tariffs, and foreign currency translation, partially offset by our efforts to optimize inventory levels. The decrease in prepaids and other assets is primarily due to lower chassis deposits driven by working capital optimization efforts.</w:t>
      </w:r>
    </w:p>
    <w:p>
      <w:pPr>
        <w:pStyle w:val="TextBody"/>
        <w:bidi w:val="0"/>
        <w:spacing w:lineRule="auto" w:line="288" w:before="240" w:after="10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3, 2026 and July 4, 2025, net cash provided by investing activities was $0.7 million and net cash used by investing activities was $19.4 million, respectively. Investing activities for the six months ended July 3, 2026 consisted of $7.4 million proceeds from a divestiture and $2.8 million proceeds from sales of assets, partially offset by $9.5 million of property and equipment additions. Investing activities for the six months ended July 4, 2025 consisted of $19.6 million of property and equipment additions and $0.2 million proceeds from sales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240" w:after="10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the six months ended July 3, 2026, net cash used in financing activities was $9.5 million, and consisted of $18.4 million repayments on our term loan, payments of $94.0 million to reduce the revolver borrowings, offset by proceeds from our revolver of $107.0 million that were used to support our working capital, $2.4 million debt modification costs, and payments of $1.7 million to repurchase shares of our common stock to cover withholding taxes from our stock-based compensation program.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the six months ended July 4, 2025, net cash used in financing activities was $9.4 million, and consisted of payments of $53.0 million to reduce the revolver borrowings, offset by proceeds from our Credit Agreement revolver of $57.0 million that were used to support our working capital, $12.1 million quarterly repayment on our term loans, and payments of $1.3 million to repurchase shares of our common stock to cover withholding taxes from our stock-based compensation program.</w:t>
      </w:r>
    </w:p>
    <w:p>
      <w:pPr>
        <w:pStyle w:val="TextBody"/>
        <w:bidi w:val="0"/>
        <w:spacing w:lineRule="auto" w:line="288" w:before="300" w:after="100"/>
        <w:jc w:val="both"/>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2022, the Company entered into a new credit agreement with Wells Fargo Bank, National Association, and other named lenders. The Credit Agreement, which was set to mature on April 5, 2027, provides for revolving loans, swingline loans and letters of credit up to an aggregate amount of $650.0 million.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Company may borrow, prepay, and re-borrow principal under the Credit Agreement during its term. Advances under the Credit Agreement can be either Adjusted Term SOFR loans or base rate loans. SOFR rate revolving loans bear interest on the outstanding principal amount thereof for each interest period at a rate per annum equal to Term SOFR for such calculation plus 0.10% plus a margin ranging from 1.00% to 2.25%. Base rate revolving loans bear interest on the outstanding principal amount thereof at a rate per annum equal to the highest of (i) Federal Funds Rate plus 0.50%, (ii) the rate of interest in effect for such day as publicly announced from time to time by the lender as its “prime rate”, and (iii) Adjusted Term SOFR rate for a one-month tenor plus 1.00%, subject to the interest rate floors set forth therein, plus a margin ranging from 0.00% to 1.00%.</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November 14, 2023, in connection and concurrently with the closing of the Marucci acquisition, the Company entered into the First Incremental Facility Amendment (the “First Amendment”) amending the Credit Agreement. The First Amendment provided the Company with the Incremental Term A Loan in an amount of $400.0 million and the Delayed Draw Term Loan in an amount of $200.0 million, each of which are permitted under the Credit Agreement, subject to satisfaction of certain conditions. The Incremental Term A Loan was fully funded on November 14, 2023 and used to fund a portion of the consideration owed under the Marucci acquisition. The Delayed Draw Term Loan was available to the Company from and including December 6, 2023, until the earlier of (a) May 14, 2024 and (b) the date on which the Delayed Draw Term commitments have been terminated. Each Incremental Term Loan is subject to quarterly amortization payments of principal at a rate of 5.00% per annum. The Incremental Term Loans are in the form of term SOFR loans and base rate loans, at the option of the Company, and have an applicable margin ranging from 0.50% to 1.50% for base rate loans and 1.50% to 2.50% for term SOFR loans, subject to adjustment provisions. Each Incremental Term Loan has a maturity date of April 5, 2027, consistent with the Credit Agreement. On May 13, 2024, the Company borrowed the full amount of $200.0 million of the Delayed Draw Term Loan.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July 31, 2024 and December 20, 2024, the Company entered into the Third and Fourth Amendment to the Credit Facility, respectively to secure an improved covenant profile on its capital structure to provide more flexibility given the uncertain macro environment.</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Fifth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October 24, 2025, the Company entered into the Fifth Amendment to the Credit Agreement, which amended the Credit Agreement, dated as of April 5, 2022, as previously amended.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Fifth Amendment, among other things, amended the Credit Agreement to replace the existing loans provided under the Credit Agreement with (i) the Term Loan in the aggregate outstanding amount of $537.5 million, which will be repaid by the Company in quarterly installments in the amount of $6.7 million, (ii) the Revolving Credit Facility in an aggregate amount of up to $500.0 million, with sub-facilities for swing line loans in an aggregate amount of up to $25.0 million and letters of credit in an aggregate amount of up to $25.0 million, and (iii) an incremental loan facility, subject to additional terms set forth in the Amended Credit Agreement, in an aggregate amount of up to $175.0 million plus an unlimited amount so long as after giving effect to the incurrence of such incremental loans, on a pro forma basis, the Consolidated Net Leverage Ratio is less than 3.25. To the extent not previously paid, all then-outstanding amounts under the Term Loan and the Revolving Credit Facility are due and payable on October 24, 2030.</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and advances under the Revolving Credit Facility can be either SOFR loans or base rate loans. SOFR loans bear interest on the outstanding principal amount thereof for each interest period at a rate per annum equal to the term SOFR for such calculation plus a margin ranging from 1.00% to 2.50%. Base rate loans bear interest on the outstanding principal amount thereof at a rate per annum equal to the highest of (i) Federal Funds Rate plus 0.50%, (ii) the rate of interest in effect for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day as publicly announced from time to time by the Agent as its “prime rate,” and (iii) term SOFR rate for a one-month tenor plus 1.00%, subject to the interest rate floors set forth in the Amended Credit Agreement, plus a margin ranging from 0.00% to 1.50%.</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Sixth Amended Credit Agreement</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May 6, 2026, the Company entered into the Sixth Amendment to the Credit Agreement. The Sixth Amendment amended the Credit Agreement, dated April 5, 2022, as previously amended.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Sixth Amendment, among other things, amended the margins for interest under the Credit Agreement, pursuant to which the term loan and advances under the revolving credit facility can be either SOFR loans or base rate loans. Pursuant to the Sixth Amendment, SOFR loans bear interest on the outstanding principal amount thereof for each interest period at a rate per annum equal to the term SOFR for such calculation period plus a margin ranging from 1.00% to 2.75%, based on the levels of Consolidated Net Leverage Ratio. Base rate loans bear interest on the outstanding principal amount thereof at a rate per annum equal to the highest of (i) Federal Funds Rate plus 0.50%, (ii) the rate of interest in effect for such day as publicly announced from time to time by the Agent as its “prime rate,” and (iii) term SOFR rate for a one-month tenor plus 1.00%, subject to the interest rate floors set forth in the Sixth Amended Credit Agreement, plus a margin ranging from 0.00% to 1.75%, based on the levels of Consolidated Net Leverage Ratio.</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Sixth Amendment also amended the definition of Consolidated Net Leverage Ratio and modifies the provisions for the mandatory prepayment of the loans with the net proceeds of asset sales. In addition, the Sixth Amendment tightens certain negative covenants on the Company, including restrictions on indebtedness, investments, and restricted payments during the period beginning on the effective date of the Sixth Amendment and ending on the date a compliance certificate is delivered by the Company for the fiscal quarter ending June 30, 2028, provided that no default or event of default has occurred and is continuing on such date of delivery.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Sixth Amendment, the Company is required to maintain (i) a Consolidated Net Leverage Ratio not to exceed (a) 5.00 as of the end of each fiscal quarter ending July 3, 2026 through January 1, 2027, (b) 4.75 as of the end of each fiscal quarter ending April 2, 2027 through July 2, 2027, (c) 4.50 as of the end of each fiscal quarter ending October 1, 2027 through December 31, 2027, (d) 4.25 as of the end of the fiscal quarter ending March 31, 2028, and (e) 4.00 as of the end of the fiscal quarters ending June 30, 2028 and thereafter, each of which will be, at the Company’s election, increased by 0.50 (but not to exceed 4.50) for the four fiscal quarters after the consummation of certain permitted acquisitions exceeding $75,000 (provided that such increase is not permitted during the Covenant Relief Period), and (ii) a Consolidated Interest Coverage Ratio of not less than (a) 2.50 as of the end of each fiscal quarter ending July 3, 2026 through June 30, 2028, and (b) 2.75 as of the end each fiscal quarter ending September 29, 2028 and thereafter.</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Sixth Amended Credit Agreement is secured by substantially all of the Company’s assets, restricts the Company’s ability to make certain payments and engage in certain transactions, and requires that the Company satisfy customary financial ratios. The Company was in compliance with the covenants as of July 3, 2026.</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At July 3, 2026, the one-month SOFR and three-month SOFR rates were 3.63% and 3.63%, respectively. At July 3, 2026, our weighted-average interest rate on outstanding borrowing was 6.05%.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100"/>
        <w:jc w:val="both"/>
        <w:rPr/>
      </w:pPr>
      <w:r>
        <w:rPr>
          <w:rFonts w:ascii="Times New Roman;serif" w:hAnsi="Times New Roman;serif"/>
          <w:b/>
          <w:color w:val="000000"/>
          <w:sz w:val="20"/>
        </w:rPr>
        <w:t>Global Trade Actions and Tariffs</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New and expanded tariffs announced under the Trump administration and triggered retaliatory actions, by certain affected countries and other foreign governments, have introduced additional costs and uncertainty into our supply chain, which may impact our cost structure and working capital needs. In February 2026, the U.S. Supreme Court ruled that certain tariffs imposed under the Trump administration were unlawful, and U.S. Customs and Border Protection has subsequently implemented a process through which eligible importers may apply for refunds of tariffs previously paid. While we are evaluating our eligibility and the potential recoverability and timing of any such refunds, the process is subject to administrative requirements and uncertainty, and any refunds are not assured. In July 2026, the administration announced new tariffs ranging from 10% to 12.5 % for over sixty countries, citing that the tariffs target countries with forced labor practices. Some countries hit by the new tariffs have objected to unfounded labor claims and the enforceability of the tariffs is still to be determined. We continue to assess the potential effects of these developments on our supply chain and sourcing strategies as well as our future operating results, cash flows, and working capital. Although we may experience volatility in cash flows as trade policies and refund mechanisms evolve, we believe our existing liquidity and access to the Amended Credit Agreement provide sufficient flexibility to manage these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information in our material cash requirements related to commitments or contractual obligations from those reported in our Annual Report on Form 10-K for the fiscal year ended January 2, 2026, as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Significant increases in inflation, particularly those related to wages and increases in the cost of raw materials, have and could continue to have an adverse impact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Interest rate volatility can impact our borrowing costs and overall financial condition. Significant increases could lead to higher interest expense on our variable-rate debt. To mitigate this risk and enhance predictability, we utilize interest rate swaps to manage our exposure to interest rate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the disclosures discussed in the section “Quantitative and Qualitative Disclosures About Market Risk” in Part II, Item 7A of our Annual Report on Form 10-K for the fiscal year ended January 2, 2026, as filed with the SEC on February 27,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Exchange Act,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Our management, under the direction and with the participation of our Chief Executive Officer and our Chief Financial Officer, evaluated the effectiveness of our disclosure controls and procedures as of July 3, 2026. Based on the evaluation of our disclosure controls and procedures as of July 3, 2026, our Chief Executive Officer and Chief Financial Officer concluded that, as of such date, our disclosure controls and procedures were effective at the reasonable assurance level.</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13a-15(f) and 15d-15(f) of the Exchange Act) identified in connection with the evaluation required by Rules 13a-15(d) and 15d-15(d) of the Exchange Act that occurred during the period covered by this Quarterly Report on Form 10-Q that materially affected, or is reasonably likely to materially affect, our internal control over financial reporting.</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our management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or will be detected. These inherent limitations include, but are not limited to, the realities that judgments in decision-making can be faulty, and that breakdowns can occur because of a simple error, oversight,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in the legal proceeding previously disclosed in Part II, Item 1 of our Quarterly Report on Form 10-Q for the quarter ended April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40" w:after="100"/>
        <w:jc w:val="both"/>
        <w:rPr>
          <w:rFonts w:ascii="Times New Roman;serif" w:hAnsi="Times New Roman;serif"/>
          <w:b/>
          <w:i/>
          <w:color w:val="000000"/>
          <w:sz w:val="20"/>
        </w:rPr>
      </w:pPr>
      <w:r>
        <w:rPr>
          <w:rFonts w:ascii="Times New Roman;serif" w:hAnsi="Times New Roman;serif"/>
          <w:b/>
          <w:i/>
          <w:color w:val="000000"/>
          <w:sz w:val="20"/>
        </w:rPr>
        <w:t>U.S. policies related to global trade and tariffs could have a material adverse effect on our results of operations.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current domestic and international political environment, including existing and potential changes to U.S. policies related to global trade and tariffs, have resulted in uncertainty surrounding the future state of the global economy. In 2018, the U.S. imposed tariffs of 25% on steel and 10% on aluminum, with only a handful of countries exempt from the increase. The new Trump administration enhanced these measures beginning in 2025 by increasing the tariffs on aluminum and steel to 50% for all countries except the United Kingdom, expanding the products on which the tariffs will be assessed to include derivative products containing steel or aluminum, and terminating all countrywide exemptions and the product specific exemption process. There is an inclusion process through which domestic industry can request the U.S. include new derivative steel and aluminum products that will be subject to the increased tariffs.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Since taking office, the new Trump administration implemented various new strategies regarding tariffs. President Trump invoked the International Emergency Economic Powers Act (“IEEPA”) to impose 25% tariffs on products from Mexico and 25% tariffs on products from Canada (with a lower 10% tariff on Canadian energy and energy resources) but exempted from the tariffs those products that are entitled to preferential treatment under the United States-Mexico-Canada Agreement. President Trump also imposed a 20% tariff on all imports from China and Hong Kong under the International Emergency Economic Powers Act. Acting on an investigation concluded during the first Trump administration, the current Trump administration-imposed tariffs of 25% on certain passenger vehicles and light trucks and parts for those vehicles.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April 2024, the Trump administration imposed a universal “reciprocal” tariff of at least 10% on all countries and higher rates for certain countries, which took effect on August 1, 2025. On February 20, 2026, the U.S. Supreme Court issued a decision finding that IEEPA does not authorize the President to impose tariffs. The Company continues to evaluate the potential ramifications of the U.S. Supreme Court’s ruling and any impacts on the Company from that ruling, including refunds from the government, and any contractual obligations arising from such refunds. Responding to that ruling, President Trump rescinded the tariff actions based on IEEPA and signed a new proclamation imposing, effective February 24, 2026, a 10% global tariff (to be increased to 15%) under Section 122 of the Trade Act of 1974 (“Section 122”). The tariff expired on July 28, 2026. However, the Trump administration announced on July 27, 2026, new tariffs ranging from 10% to 12.5% for over 60 countries, citing that the tariffs target countries with forced labor practices. Some countries hit by the new tariffs have objected to unfounded labor claims and the enforceability of the tariffs is still to be determined.</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tariff actions by the U.S. may result in a decrease of global trade volumes due to uncertainty, may create an administrative burden and will cause retailers to make difficult decisions as to how to pay the tariff or absorb the cost into their profit margins.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While we have exposure to implemented tariffs at this time, in regard to our supply chain and end-user demand, any expansion in the types of tariffs implemented has the potential to negatively impact our supply chain costs and the operating performance of our customers, which in turn may negatively affect our sales, gross margin, and operating performance. Additionally, there is a risk that continued U.S. tariffs on imports could be met with additional retaliatory tariffs on U.S.-produced exports and that the broader trade uncertainty could intensify. This has the potential to significantly impact global trade and economic conditions in many of the regions where we do business and have a material adverse effect on our results of operations.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with respect to sourcing products and raw materials from third-party suppliers in other countries, our ability to timely or successfully import such products or those made with such raw materials may be adversely affected by changes in U.S. laws. As a result, products we import into the U.S. could be held for inspection by U.S. Customs and Border Patrol (“U.S. CBP”) based on a suspicion of noncompliance. Additionally, the Uyghur Forced Labor Prevention Act (“UFLPA”) empowers the U.S. CBP to withhold release of items produced in whole or in part in countries or by companies included on the UFLPA entities list, creating a presumption that such goods were produced using forced labor. In January 2025, the Department of Homeland Security added to the UFLPA entity list, marking the largest single expansion of the list to date, and including a large supplier of critical minerals and one of the world’s largest textile manufacturers, both linked to forced labor practices in the People’s Republic of China. Although we do not believe that our suppliers source materials from entities included on the UFLPA for the products they sell to us or use to manufacture our products and we could be subject to penalties, fines or sanctions if any of the suppliers from which we purchase goods is found to have dealings, directly or indirectly, with entities on the ULFPA entities list. We are committed to complying with the UFLPA and have taken significant steps to assess and mitigate risks within our supply chain. Given the complexity and multi-tiered nature of global supply chains, achieving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traceability for every supplier and sub-supplier presents substantial challenges. However, we are continuously working to enhance our due diligence processes, leveraging available data and supplier engagement to ensure compliance to the fullest extent possible.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Recently, in September 2025, the U.S. CBP issued a Withhold Release Order against bicycles, bicycle parts, and accessories manufactured in Taiwan by Giant Manufacturing Co. Ltd., based on information of possible forced labor use. The similarity in product offerings and our company’s products being associated with Giant Manufacturing Co. Ltd. may subject our Taiwan-based or other operations to increased scrutiny and review, which could result in compliance and reporting costs and hinder or delay the importation and delivery of our products manufactured in Taiwan. With the majority of our manufacturing operations for our bike products occurring in Taiwan, any adverse order issued by the U.S. CBP on our company or other manufacturers of bicycles, bicycle parts, and related accessories could negatively affect our business, financial condition or results of operations.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Except as noted in this Item 1A and as previously disclosed in Part II, Item 1A of our Quarterly Report on Form 10-Q for the quarter ended April 3, 2026, there have been no material changes to the risk factors described in our Form 10-K for the 2025 fiscal year ended January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contains details related to the repurchase of common stock based on the date of trade during the quarter ended July 3, 2026:</w:t>
      </w:r>
    </w:p>
    <w:tbl>
      <w:tblPr>
        <w:tblW w:w="10205" w:type="dxa"/>
        <w:jc w:val="left"/>
        <w:tblInd w:w="0" w:type="dxa"/>
        <w:tblLayout w:type="fixed"/>
        <w:tblCellMar>
          <w:top w:w="28" w:type="dxa"/>
          <w:left w:w="28" w:type="dxa"/>
          <w:bottom w:w="28" w:type="dxa"/>
          <w:right w:w="28" w:type="dxa"/>
        </w:tblCellMar>
      </w:tblPr>
      <w:tblGrid>
        <w:gridCol w:w="251"/>
        <w:gridCol w:w="221"/>
        <w:gridCol w:w="222"/>
        <w:gridCol w:w="109"/>
        <w:gridCol w:w="109"/>
        <w:gridCol w:w="109"/>
        <w:gridCol w:w="499"/>
        <w:gridCol w:w="447"/>
        <w:gridCol w:w="449"/>
        <w:gridCol w:w="109"/>
        <w:gridCol w:w="109"/>
        <w:gridCol w:w="109"/>
        <w:gridCol w:w="437"/>
        <w:gridCol w:w="1279"/>
        <w:gridCol w:w="227"/>
        <w:gridCol w:w="109"/>
        <w:gridCol w:w="109"/>
        <w:gridCol w:w="109"/>
        <w:gridCol w:w="683"/>
        <w:gridCol w:w="683"/>
        <w:gridCol w:w="685"/>
        <w:gridCol w:w="109"/>
        <w:gridCol w:w="109"/>
        <w:gridCol w:w="109"/>
        <w:gridCol w:w="356"/>
        <w:gridCol w:w="2004"/>
        <w:gridCol w:w="184"/>
        <w:gridCol w:w="109"/>
        <w:gridCol w:w="161"/>
      </w:tblGrid>
      <w:tr>
        <w:trPr/>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Total Number of Shares Purchased as Part of Publicly Announced Plans or Programs </w:t>
            </w:r>
            <w:r>
              <w:rPr>
                <w:rFonts w:ascii="Times New Roman;serif" w:hAnsi="Times New Roman;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Approximate Dollar Value of Shares that May Yet be Purchased under the Plans or Programs </w:t>
            </w:r>
            <w:r>
              <w:rPr>
                <w:rFonts w:ascii="Times New Roman;serif" w:hAnsi="Times New Roman;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22,329 </w:t>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24,484 </w:t>
            </w:r>
          </w:p>
        </w:tc>
        <w:tc>
          <w:tcPr>
            <w:tcW w:w="4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 Shares acquired from holders of restricted stock unit awards to satisfy tax-withholding obligations.</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(2) On November 1, 2023, the Company’s Board of Directors authorized a share repurchase plan for up to $300 million in shares of the Company’s common stock, par value $0.001 per share. Refer to </w:t>
            </w:r>
            <w:hyperlink w:anchor="i1670ec0dd1b14c89a7cbf2c857b7aa3c_61">
              <w:r>
                <w:rPr>
                  <w:rStyle w:val="InternetLink"/>
                  <w:rFonts w:ascii="Times New Roman;serif" w:hAnsi="Times New Roman;serif"/>
                  <w:b w:val="false"/>
                  <w:color w:val="0000FF"/>
                  <w:sz w:val="20"/>
                  <w:u w:val="single"/>
                </w:rPr>
                <w:t>Note 11. Stockholders’ Equity</w:t>
              </w:r>
            </w:hyperlink>
            <w:r>
              <w:rPr>
                <w:color w:val="000000"/>
              </w:rPr>
              <w:t xml:space="preserve"> </w:t>
            </w:r>
            <w:r>
              <w:rPr>
                <w:rFonts w:ascii="Times New Roman;serif" w:hAnsi="Times New Roman;serif"/>
                <w:b w:val="false"/>
                <w:color w:val="000000"/>
                <w:sz w:val="20"/>
              </w:rPr>
              <w:t>for further details.</w:t>
            </w:r>
          </w:p>
        </w:tc>
        <w:tc>
          <w:tcPr>
            <w:tcW w:w="270"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1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Rule 10b5-1 and Non-Rule 10b5-1 Trading Arrangements</w:t>
      </w:r>
    </w:p>
    <w:p>
      <w:pPr>
        <w:pStyle w:val="TextBody"/>
        <w:bidi w:val="0"/>
        <w:spacing w:lineRule="auto" w:line="268" w:before="0" w:after="0"/>
        <w:jc w:val="both"/>
        <w:rPr/>
      </w:pPr>
      <w:r>
        <w:rPr>
          <w:rFonts w:ascii="Times New Roman;serif" w:hAnsi="Times New Roman;serif"/>
          <w:b w:val="false"/>
          <w:color w:val="000000"/>
          <w:sz w:val="20"/>
        </w:rPr>
        <w:t xml:space="preserve">During the three months ended July 3, 2026, none of our officers or directors (as defined in Rule 16a-1(f) of the Securities Exchange Act of 1934) adopted or terminated a Rule 10b5-1 trading arrangement or non-Rule 10b5-1 trading arrangement </w:t>
      </w:r>
      <w:r>
        <w:rPr>
          <w:rFonts w:ascii="Times New Roman;serif" w:hAnsi="Times New Roman;serif"/>
          <w:b w:val="false"/>
          <w:color w:val="000000"/>
          <w:sz w:val="20"/>
          <w:shd w:fill="FFFFFF" w:val="clear"/>
        </w:rPr>
        <w:t>(as such terms are defined in Item 408 of Regulation S-K of the Securities Act of 1933)</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4"/>
        <w:gridCol w:w="294"/>
        <w:gridCol w:w="296"/>
        <w:gridCol w:w="2114"/>
        <w:gridCol w:w="1926"/>
        <w:gridCol w:w="1932"/>
        <w:gridCol w:w="239"/>
        <w:gridCol w:w="182"/>
        <w:gridCol w:w="154"/>
        <w:gridCol w:w="253"/>
        <w:gridCol w:w="218"/>
        <w:gridCol w:w="169"/>
        <w:gridCol w:w="337"/>
        <w:gridCol w:w="246"/>
        <w:gridCol w:w="199"/>
        <w:gridCol w:w="382"/>
        <w:gridCol w:w="382"/>
        <w:gridCol w:w="548"/>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5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or Furnished Herewith</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erif" w:hAnsi="Times New Roman;serif"/>
                  <w:b w:val="false"/>
                  <w:color w:val="0000FF"/>
                  <w:sz w:val="18"/>
                  <w:u w:val="single"/>
                </w:rPr>
                <w:t>3.1</w:t>
              </w:r>
            </w:hyperlink>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Second Amended and Restated Certificate of Incorporation</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10-Q</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001-36040</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4, 2023</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erif" w:hAnsi="Times New Roman;serif"/>
                  <w:b w:val="false"/>
                  <w:color w:val="0000FF"/>
                  <w:sz w:val="18"/>
                  <w:u w:val="single"/>
                </w:rPr>
                <w:t>3.2</w:t>
              </w:r>
            </w:hyperlink>
          </w:p>
        </w:tc>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Second Amended and Restated Bylaws</w:t>
            </w:r>
          </w:p>
        </w:tc>
        <w:tc>
          <w:tcPr>
            <w:tcW w:w="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8-K</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001-36040</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 2024</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18"/>
                  <w:u w:val="single"/>
                </w:rPr>
                <w:t>10.1</w:t>
              </w:r>
            </w:hyperlink>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Sixth Amendment to Credit Agreement and Third Amendment to Guaranty and Security Agreement, dated May 6, 2026, among Fox Factory Holding Corp. and certain of its subsidiaries, Wells Fargo Bank, National Association, and other financial institutions party thereto.</w:t>
            </w:r>
          </w:p>
        </w:tc>
        <w:tc>
          <w:tcPr>
            <w:tcW w:w="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8-K</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001-36040</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2026</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oxf2026-07x0310xqex311.htm">
              <w:r>
                <w:rPr>
                  <w:rStyle w:val="InternetLink"/>
                  <w:rFonts w:ascii="Times New Roman;serif" w:hAnsi="Times New Roman;serif"/>
                  <w:b w:val="false"/>
                  <w:color w:val="0000FF"/>
                  <w:sz w:val="18"/>
                  <w:u w:val="single"/>
                </w:rPr>
                <w:t>31.1</w:t>
              </w:r>
            </w:hyperlink>
          </w:p>
        </w:tc>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Rule 13a-14(a) and 15d-14(a) of the Securities Exchange Act of 1934, as amended, as adopted pursuant to Section 302 of the Sarbanes-Oxley Act of 2002, as amended.</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oxf2026-07x0310xqex312.htm">
              <w:r>
                <w:rPr>
                  <w:rStyle w:val="InternetLink"/>
                  <w:rFonts w:ascii="Times New Roman;serif" w:hAnsi="Times New Roman;serif"/>
                  <w:b w:val="false"/>
                  <w:color w:val="0000FF"/>
                  <w:sz w:val="18"/>
                  <w:u w:val="single"/>
                </w:rPr>
                <w:t>31.2</w:t>
              </w:r>
            </w:hyperlink>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Rule 13a-14(a) and 15d-14(a) of the Securities Exchange Act of 1934, as amended, as adopted pursuant to Section 302 of the Sarbanes-Oxley Act of 2002, as amended.</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oxf2026-07x0310xqex321.htm">
              <w:r>
                <w:rPr>
                  <w:rStyle w:val="InternetLink"/>
                  <w:rFonts w:ascii="Times New Roman;serif" w:hAnsi="Times New Roman;serif"/>
                  <w:b w:val="false"/>
                  <w:color w:val="0000FF"/>
                  <w:sz w:val="18"/>
                  <w:u w:val="single"/>
                </w:rPr>
                <w:t>32.1*</w:t>
              </w:r>
            </w:hyperlink>
          </w:p>
        </w:tc>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and Principal Financial Officer pursuant to 18 U.S.C. Section 1350, as adopted pursuant to Section 906 of the Sarbanes-Oxley Act of 2002, as amended.</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5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w:t>
            </w:r>
          </w:p>
        </w:tc>
      </w:tr>
      <w:tr>
        <w:trPr/>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5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formatted as Inline XBRL and contained in Exhibit 101</w:t>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X    Filed herewith</w:t>
      </w:r>
    </w:p>
    <w:p>
      <w:pPr>
        <w:pStyle w:val="TextBody"/>
        <w:bidi w:val="0"/>
        <w:spacing w:lineRule="auto" w:line="288" w:before="100" w:after="100"/>
        <w:jc w:val="both"/>
        <w:rPr>
          <w:rFonts w:ascii="Times New Roman;serif" w:hAnsi="Times New Roman;serif"/>
          <w:b w:val="false"/>
          <w:color w:val="000000"/>
          <w:sz w:val="18"/>
        </w:rPr>
      </w:pPr>
      <w:r>
        <w:rPr>
          <w:rFonts w:ascii="Times New Roman;serif" w:hAnsi="Times New Roman;serif"/>
          <w:b w:val="false"/>
          <w:color w:val="000000"/>
          <w:sz w:val="18"/>
        </w:rPr>
        <w:t>*    In accordance with Item 601(b)(32)(ii) of Regulation S-K and SEC Release No. 34-47986, the certifications furnished in Exhibit 32.1 hereto are deemed to accompany this Form 10-Q and will not be deemed “filed” for purposes of Section 18 of the Exchange Act. Such certifications will not be deemed to be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670ec0dd1b14c89a7cbf2c857b7aa3c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before="240" w:after="283"/>
        <w:ind w:left="0" w:right="0" w:firstLine="495"/>
        <w:jc w:val="left"/>
        <w:rPr/>
      </w:pPr>
      <w:r>
        <w:rPr/>
      </w:r>
    </w:p>
    <w:tbl>
      <w:tblPr>
        <w:tblW w:w="6584" w:type="dxa"/>
        <w:jc w:val="left"/>
        <w:tblInd w:w="0" w:type="dxa"/>
        <w:tblLayout w:type="fixed"/>
        <w:tblCellMar>
          <w:top w:w="28" w:type="dxa"/>
          <w:left w:w="28" w:type="dxa"/>
          <w:bottom w:w="28" w:type="dxa"/>
          <w:right w:w="28" w:type="dxa"/>
        </w:tblCellMar>
      </w:tblPr>
      <w:tblGrid>
        <w:gridCol w:w="493"/>
        <w:gridCol w:w="435"/>
        <w:gridCol w:w="437"/>
        <w:gridCol w:w="460"/>
        <w:gridCol w:w="460"/>
        <w:gridCol w:w="460"/>
        <w:gridCol w:w="1112"/>
        <w:gridCol w:w="1112"/>
        <w:gridCol w:w="161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FOX FACTORY HOLDING CORP.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C. Schemm</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Dennis C. Schemm,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FOX FACTORY HOLDING CORP.</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Brendan R. Enick</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Brendan R. Enick, Chief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DISCLOSURE IN FOX FACTORY HOLDING CORP'S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FILED ON FORM 10-Q</w:t>
      </w:r>
    </w:p>
    <w:p>
      <w:pPr>
        <w:pStyle w:val="TextBody"/>
        <w:bidi w:val="0"/>
        <w:spacing w:lineRule="auto" w:line="288" w:before="300" w:after="100"/>
        <w:jc w:val="left"/>
        <w:rPr>
          <w:rFonts w:ascii="Times New Roman;serif" w:hAnsi="Times New Roman;serif"/>
          <w:b w:val="false"/>
          <w:color w:val="000000"/>
          <w:sz w:val="20"/>
        </w:rPr>
      </w:pPr>
      <w:r>
        <w:rPr>
          <w:rFonts w:ascii="Times New Roman;serif" w:hAnsi="Times New Roman;serif"/>
          <w:b w:val="false"/>
          <w:color w:val="000000"/>
          <w:sz w:val="20"/>
        </w:rPr>
        <w:t>I, Michael C. Dennison, certify that:</w:t>
      </w:r>
    </w:p>
    <w:p>
      <w:pPr>
        <w:pStyle w:val="TextBody"/>
        <w:bidi w:val="0"/>
        <w:spacing w:lineRule="auto" w:line="288" w:before="100" w:after="100"/>
        <w:jc w:val="left"/>
        <w:rPr>
          <w:color w:val="000000"/>
        </w:rPr>
      </w:pPr>
      <w:r>
        <w:rPr>
          <w:color w:val="000000"/>
        </w:rPr>
        <w:t> </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Fox Factory Holding Corp.:</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ind w:left="0" w:right="0" w:hanging="720"/>
        <w:jc w:val="both"/>
        <w:rPr/>
      </w:pPr>
      <w:r>
        <w:rPr/>
      </w:r>
    </w:p>
    <w:p>
      <w:pPr>
        <w:pStyle w:val="TextBody"/>
        <w:bidi w:val="0"/>
        <w:spacing w:before="100" w:after="100"/>
        <w:ind w:left="0" w:right="0" w:hanging="720"/>
        <w:jc w:val="both"/>
        <w:rPr/>
      </w:pPr>
      <w:r>
        <w:rPr/>
      </w:r>
    </w:p>
    <w:tbl>
      <w:tblPr>
        <w:tblW w:w="2489" w:type="dxa"/>
        <w:jc w:val="left"/>
        <w:tblInd w:w="0" w:type="dxa"/>
        <w:tblLayout w:type="fixed"/>
        <w:tblCellMar>
          <w:top w:w="28" w:type="dxa"/>
          <w:left w:w="28" w:type="dxa"/>
          <w:bottom w:w="28" w:type="dxa"/>
          <w:right w:w="28" w:type="dxa"/>
        </w:tblCellMar>
      </w:tblPr>
      <w:tblGrid>
        <w:gridCol w:w="795"/>
        <w:gridCol w:w="699"/>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Dennison</w:t>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Dennison</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DISCLOSURE IN FOX FACTORY HOLDING CORP'S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FILED ON FORM 10-Q</w:t>
      </w:r>
    </w:p>
    <w:p>
      <w:pPr>
        <w:pStyle w:val="TextBody"/>
        <w:bidi w:val="0"/>
        <w:spacing w:before="240" w:after="283"/>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 Dennis C. Schemm, certify that:</w:t>
      </w:r>
    </w:p>
    <w:p>
      <w:pPr>
        <w:pStyle w:val="TextBody"/>
        <w:bidi w:val="0"/>
        <w:spacing w:lineRule="auto" w:line="288" w:before="100" w:after="100"/>
        <w:jc w:val="both"/>
        <w:rPr>
          <w:color w:val="000000"/>
        </w:rPr>
      </w:pPr>
      <w:r>
        <w:rPr>
          <w:color w:val="000000"/>
        </w:rPr>
        <w:t> </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Fox Factory Holding Corp.:</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ind w:left="0" w:right="0" w:hanging="720"/>
        <w:jc w:val="both"/>
        <w:rPr/>
      </w:pPr>
      <w:r>
        <w:rPr/>
      </w:r>
    </w:p>
    <w:p>
      <w:pPr>
        <w:pStyle w:val="TextBody"/>
        <w:bidi w:val="0"/>
        <w:spacing w:before="100" w:after="100"/>
        <w:jc w:val="both"/>
        <w:rPr/>
      </w:pPr>
      <w:r>
        <w:rPr/>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C. Schemm</w:t>
            </w:r>
          </w:p>
        </w:tc>
      </w:tr>
      <w:tr>
        <w:trPr/>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C. Schemm</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AND</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PRINCIPAL FINANCIAL OFFICER PURSUANT TO 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240" w:after="100"/>
        <w:jc w:val="both"/>
        <w:rPr>
          <w:rFonts w:ascii="Times New Roman;serif" w:hAnsi="Times New Roman;serif"/>
          <w:b w:val="false"/>
          <w:color w:val="000000"/>
          <w:sz w:val="20"/>
        </w:rPr>
      </w:pPr>
      <w:r>
        <w:rPr>
          <w:rFonts w:ascii="Times New Roman;serif" w:hAnsi="Times New Roman;serif"/>
          <w:b w:val="false"/>
          <w:color w:val="000000"/>
          <w:sz w:val="20"/>
        </w:rPr>
        <w:t>The undersigned hereby certify, pursuant to the requirement set forth in Rule 13a-14(b) of the Securities Exchange Act of 1934, as amended, and in accordance with 18 U.S.C. 1350, as adopted pursuant to Section 906 of the Sarbanes-Oxley Act of 2002, in their capacities as officers of Fox Factory Holding Corp. (the “Company”), that, to their knowledge, the Quarterly Report on Form 10-Q of the Company for the quarter ended July 3, 2026 fully complies with the requirements of Section 13(a) or 15(d) of the Securities Exchange Act of 1934, as amended, and that the information contained in such report fairly presents, in all material respects, the financial condition and results of operations of the Company as of the dates and for the periods presented in the financial statements included in such report.</w:t>
      </w:r>
    </w:p>
    <w:p>
      <w:pPr>
        <w:pStyle w:val="TextBody"/>
        <w:bidi w:val="0"/>
        <w:spacing w:before="240" w:after="100"/>
        <w:jc w:val="both"/>
        <w:rPr/>
      </w:pPr>
      <w:r>
        <w:rPr/>
      </w:r>
    </w:p>
    <w:tbl>
      <w:tblPr>
        <w:tblW w:w="2489" w:type="dxa"/>
        <w:jc w:val="left"/>
        <w:tblInd w:w="0" w:type="dxa"/>
        <w:tblLayout w:type="fixed"/>
        <w:tblCellMar>
          <w:top w:w="28" w:type="dxa"/>
          <w:left w:w="28" w:type="dxa"/>
          <w:bottom w:w="28" w:type="dxa"/>
          <w:right w:w="28" w:type="dxa"/>
        </w:tblCellMar>
      </w:tblPr>
      <w:tblGrid>
        <w:gridCol w:w="795"/>
        <w:gridCol w:w="699"/>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Dennison</w:t>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Dennison</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Dennis C. Schemm</w:t>
            </w:r>
          </w:p>
        </w:tc>
      </w:tr>
      <w:tr>
        <w:trPr/>
        <w:tc>
          <w:tcPr>
            <w:tcW w:w="24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Dennis C. Schemm</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Report to which it relates, is not deemed filed with the Securities and Exchange Commission and is not to be incorporated by reference into any filing of Fox Factory Holding Corp. under the Securities Act of 1933, as amended, or the Securities Exchange Act of 1934, as amended (whether made before or after the date of the Report), irrespective of any general incorporation language contained in such filing. </w:t>
      </w:r>
    </w:p>
    <w:p>
      <w:pPr>
        <w:pStyle w:val="TextBody"/>
        <w:bidi w:val="0"/>
        <w:spacing w:before="100" w:after="1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4929/000142492923000133/foxf2023-06x3010xqex31.htm" TargetMode="External"/><Relationship Id="rId3" Type="http://schemas.openxmlformats.org/officeDocument/2006/relationships/hyperlink" Target="https://www.sec.gov/Archives/edgar/data/1424929/000142492924000105/exhibit31secondamendedandr.htm" TargetMode="External"/><Relationship Id="rId4" Type="http://schemas.openxmlformats.org/officeDocument/2006/relationships/hyperlink" Target="https://www.sec.gov/Archives/edgar/data/1424929/000142492926000032/exhibit101sixthamendmentto.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22633</Words>
  <Characters>123327</Characters>
  <CharactersWithSpaces>144214</CharactersWithSpaces>
  <Paragraphs>2931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